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0CE496">
      <w:pPr>
        <w:jc w:val="center"/>
        <w:rPr>
          <w:rFonts w:ascii="宋体" w:hAnsi="宋体" w:eastAsia="宋体" w:cs="Arial"/>
          <w:b/>
          <w:bCs/>
          <w:color w:val="auto"/>
          <w:sz w:val="36"/>
          <w:szCs w:val="36"/>
          <w:highlight w:val="none"/>
        </w:rPr>
      </w:pPr>
      <w:bookmarkStart w:id="21" w:name="_GoBack"/>
    </w:p>
    <w:p w14:paraId="55D7F7FF">
      <w:pPr>
        <w:jc w:val="center"/>
        <w:rPr>
          <w:rFonts w:ascii="宋体" w:hAnsi="宋体" w:eastAsia="宋体" w:cs="Arial"/>
          <w:b/>
          <w:bCs/>
          <w:color w:val="auto"/>
          <w:sz w:val="36"/>
          <w:szCs w:val="36"/>
          <w:highlight w:val="none"/>
        </w:rPr>
      </w:pPr>
    </w:p>
    <w:p w14:paraId="0AEFBDEA">
      <w:pPr>
        <w:jc w:val="center"/>
        <w:rPr>
          <w:rFonts w:ascii="宋体" w:hAnsi="宋体" w:eastAsia="宋体" w:cs="Arial"/>
          <w:b/>
          <w:bCs/>
          <w:color w:val="auto"/>
          <w:sz w:val="36"/>
          <w:szCs w:val="36"/>
          <w:highlight w:val="none"/>
        </w:rPr>
      </w:pPr>
    </w:p>
    <w:p w14:paraId="6D5CE7AE">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2024年州直关闭破产企业1995年底前退休人员生活补贴资金项目支出绩效评价报告</w:t>
      </w:r>
    </w:p>
    <w:p w14:paraId="3FF2F312">
      <w:pPr>
        <w:pStyle w:val="2"/>
        <w:rPr>
          <w:rFonts w:hint="eastAsia"/>
          <w:color w:val="auto"/>
          <w:highlight w:val="none"/>
          <w:lang w:val="en-US" w:eastAsia="zh-CN"/>
        </w:rPr>
      </w:pPr>
    </w:p>
    <w:p w14:paraId="61DCA15B">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（2024年度）</w:t>
      </w:r>
    </w:p>
    <w:p w14:paraId="623269A0">
      <w:pPr>
        <w:spacing w:line="240" w:lineRule="atLeast"/>
        <w:jc w:val="center"/>
        <w:rPr>
          <w:rFonts w:ascii="宋体" w:hAnsi="宋体" w:eastAsia="宋体" w:cs="Arial"/>
          <w:b/>
          <w:bCs/>
          <w:color w:val="auto"/>
          <w:sz w:val="36"/>
          <w:szCs w:val="36"/>
          <w:highlight w:val="none"/>
        </w:rPr>
      </w:pPr>
    </w:p>
    <w:p w14:paraId="6EE03FA8">
      <w:pPr>
        <w:spacing w:line="240" w:lineRule="atLeast"/>
        <w:jc w:val="center"/>
        <w:rPr>
          <w:rFonts w:ascii="宋体" w:hAnsi="宋体" w:eastAsia="宋体" w:cs="Arial"/>
          <w:b/>
          <w:bCs/>
          <w:color w:val="auto"/>
          <w:sz w:val="36"/>
          <w:szCs w:val="36"/>
          <w:highlight w:val="none"/>
        </w:rPr>
      </w:pPr>
    </w:p>
    <w:p w14:paraId="53AF4C82">
      <w:pPr>
        <w:spacing w:line="240" w:lineRule="atLeast"/>
        <w:jc w:val="center"/>
        <w:rPr>
          <w:rFonts w:ascii="宋体" w:hAnsi="宋体" w:eastAsia="宋体" w:cs="Arial"/>
          <w:b/>
          <w:bCs/>
          <w:color w:val="auto"/>
          <w:sz w:val="36"/>
          <w:szCs w:val="36"/>
          <w:highlight w:val="none"/>
        </w:rPr>
      </w:pPr>
    </w:p>
    <w:p w14:paraId="2D279DEC">
      <w:pPr>
        <w:spacing w:line="240" w:lineRule="atLeast"/>
        <w:jc w:val="center"/>
        <w:rPr>
          <w:rFonts w:ascii="宋体" w:hAnsi="宋体" w:eastAsia="宋体" w:cs="Arial"/>
          <w:b/>
          <w:bCs/>
          <w:color w:val="auto"/>
          <w:sz w:val="36"/>
          <w:szCs w:val="36"/>
          <w:highlight w:val="none"/>
        </w:rPr>
      </w:pPr>
    </w:p>
    <w:p w14:paraId="6D395273">
      <w:pPr>
        <w:spacing w:line="240" w:lineRule="auto"/>
        <w:ind w:left="0" w:leftChars="0" w:firstLine="0" w:firstLineChars="0"/>
        <w:jc w:val="both"/>
        <w:rPr>
          <w:rFonts w:ascii="宋体" w:hAnsi="宋体" w:eastAsia="宋体" w:cs="Arial"/>
          <w:b/>
          <w:bCs/>
          <w:color w:val="auto"/>
          <w:sz w:val="36"/>
          <w:szCs w:val="36"/>
          <w:highlight w:val="none"/>
        </w:rPr>
      </w:pPr>
    </w:p>
    <w:p w14:paraId="1C72AEE1">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项目名称：2024年州直关闭破产企业1995年底前退休人员生活补贴资金</w:t>
      </w:r>
    </w:p>
    <w:p w14:paraId="5ABE7CBF">
      <w:pPr>
        <w:spacing w:line="360" w:lineRule="auto"/>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eastAsia="zh-CN"/>
        </w:rPr>
        <w:t>和静县社会保险中心</w:t>
      </w:r>
    </w:p>
    <w:p w14:paraId="31DB0162">
      <w:pPr>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权云峰</w:t>
      </w:r>
    </w:p>
    <w:p w14:paraId="128AEEA7">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5</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15日</w:t>
      </w:r>
    </w:p>
    <w:p w14:paraId="4BEC0BF7">
      <w:pPr>
        <w:ind w:firstLine="0" w:firstLineChars="0"/>
        <w:jc w:val="center"/>
        <w:rPr>
          <w:b/>
          <w:bCs/>
          <w:color w:val="auto"/>
          <w:sz w:val="32"/>
          <w:szCs w:val="28"/>
          <w:highlight w:val="none"/>
        </w:rPr>
      </w:pPr>
      <w:bookmarkStart w:id="0" w:name="OLE_LINK1"/>
      <w:r>
        <w:rPr>
          <w:rFonts w:hint="eastAsia"/>
          <w:b/>
          <w:bCs/>
          <w:color w:val="auto"/>
          <w:sz w:val="32"/>
          <w:szCs w:val="28"/>
          <w:highlight w:val="none"/>
        </w:rPr>
        <w:t>2024年州直关闭破产企业1995年底前退休人员生活补贴资金</w:t>
      </w:r>
      <w:bookmarkEnd w:id="0"/>
      <w:r>
        <w:rPr>
          <w:rFonts w:hint="eastAsia"/>
          <w:b/>
          <w:bCs/>
          <w:color w:val="auto"/>
          <w:sz w:val="32"/>
          <w:szCs w:val="28"/>
          <w:highlight w:val="none"/>
        </w:rPr>
        <w:t>项目支出绩效评价报告</w:t>
      </w:r>
    </w:p>
    <w:p w14:paraId="1BF15C09">
      <w:pPr>
        <w:pStyle w:val="3"/>
        <w:keepNext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rPr>
        <w:t>一、基本情况</w:t>
      </w:r>
    </w:p>
    <w:p w14:paraId="70DE8E58">
      <w:pPr>
        <w:pStyle w:val="4"/>
        <w:keepNext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rPr>
        <w:t>（一）项目概况</w:t>
      </w:r>
    </w:p>
    <w:p w14:paraId="2723E427">
      <w:pPr>
        <w:pStyle w:val="2"/>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1.项目背景</w:t>
      </w:r>
    </w:p>
    <w:p w14:paraId="77719C20">
      <w:pPr>
        <w:pStyle w:val="2"/>
        <w:keepNext w:val="0"/>
        <w:pageBreakBefore w:val="0"/>
        <w:widowControl w:val="0"/>
        <w:kinsoku/>
        <w:wordWrap/>
        <w:overflowPunct/>
        <w:topLinePunct w:val="0"/>
        <w:autoSpaceDE/>
        <w:autoSpaceDN/>
        <w:bidi w:val="0"/>
        <w:adjustRightInd/>
        <w:ind w:firstLine="562"/>
        <w:textAlignment w:val="auto"/>
        <w:rPr>
          <w:b w:val="0"/>
          <w:bCs w:val="0"/>
          <w:color w:val="auto"/>
          <w:highlight w:val="none"/>
        </w:rPr>
      </w:pPr>
      <w:r>
        <w:rPr>
          <w:rFonts w:hint="eastAsia"/>
          <w:b w:val="0"/>
          <w:bCs w:val="0"/>
          <w:color w:val="auto"/>
          <w:highlight w:val="none"/>
        </w:rPr>
        <w:t>项目背景根据《关于对参加城镇职工基本养老保险统筹的有关退休人员实施生活补贴的通知》(新政办发[2010]168号)文件的相关规定，对95年底前困难企业退休人员按照每人每月120元的标准发放生活补助。</w:t>
      </w:r>
    </w:p>
    <w:p w14:paraId="4397CA4B">
      <w:pPr>
        <w:pStyle w:val="2"/>
        <w:keepNext w:val="0"/>
        <w:pageBreakBefore w:val="0"/>
        <w:widowControl w:val="0"/>
        <w:kinsoku/>
        <w:wordWrap/>
        <w:overflowPunct/>
        <w:topLinePunct w:val="0"/>
        <w:autoSpaceDE/>
        <w:autoSpaceDN/>
        <w:bidi w:val="0"/>
        <w:adjustRightInd/>
        <w:ind w:firstLine="562"/>
        <w:textAlignment w:val="auto"/>
        <w:rPr>
          <w:rFonts w:hint="eastAsia"/>
          <w:color w:val="auto"/>
          <w:highlight w:val="none"/>
        </w:rPr>
      </w:pPr>
      <w:r>
        <w:rPr>
          <w:rFonts w:hint="eastAsia"/>
          <w:color w:val="auto"/>
          <w:highlight w:val="none"/>
          <w:lang w:val="en-US" w:eastAsia="zh-CN"/>
        </w:rPr>
        <w:t>2.</w:t>
      </w:r>
      <w:r>
        <w:rPr>
          <w:rFonts w:hint="eastAsia"/>
          <w:color w:val="auto"/>
          <w:highlight w:val="none"/>
        </w:rPr>
        <w:t>主要内容</w:t>
      </w:r>
    </w:p>
    <w:p w14:paraId="02227540">
      <w:pPr>
        <w:keepNext w:val="0"/>
        <w:pageBreakBefore w:val="0"/>
        <w:widowControl w:val="0"/>
        <w:kinsoku/>
        <w:wordWrap/>
        <w:overflowPunct/>
        <w:topLinePunct w:val="0"/>
        <w:autoSpaceDE/>
        <w:autoSpaceDN/>
        <w:bidi w:val="0"/>
        <w:adjustRightInd/>
        <w:ind w:firstLine="560"/>
        <w:textAlignment w:val="auto"/>
        <w:rPr>
          <w:rFonts w:hint="eastAsia"/>
          <w:color w:val="auto"/>
          <w:highlight w:val="none"/>
          <w:lang w:val="en-US" w:eastAsia="zh-CN"/>
        </w:rPr>
      </w:pPr>
      <w:r>
        <w:rPr>
          <w:rFonts w:hint="eastAsia"/>
          <w:color w:val="auto"/>
          <w:highlight w:val="none"/>
          <w:lang w:val="en-US" w:eastAsia="zh-CN"/>
        </w:rPr>
        <w:t>项目名称：2024年州直关闭破产企业1995年底前退休人员生活补贴资金</w:t>
      </w:r>
    </w:p>
    <w:p w14:paraId="56E70540">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val="en-US" w:eastAsia="zh-CN"/>
        </w:rPr>
        <w:t>项目主要内容：</w:t>
      </w:r>
      <w:r>
        <w:rPr>
          <w:rFonts w:hint="eastAsia"/>
          <w:color w:val="auto"/>
          <w:highlight w:val="none"/>
        </w:rPr>
        <w:t>国家安排95年底前困难企业退休人员发放生活补助。为了提高生活水平，政府每年落实生活补助金，我们中心确保每季度及时发放，及时核定人数，资金到位按时发放。</w:t>
      </w:r>
    </w:p>
    <w:p w14:paraId="4C715AC7">
      <w:pPr>
        <w:pStyle w:val="2"/>
        <w:keepNext w:val="0"/>
        <w:pageBreakBefore w:val="0"/>
        <w:widowControl w:val="0"/>
        <w:kinsoku/>
        <w:wordWrap/>
        <w:overflowPunct/>
        <w:topLinePunct w:val="0"/>
        <w:autoSpaceDE/>
        <w:autoSpaceDN/>
        <w:bidi w:val="0"/>
        <w:adjustRightInd/>
        <w:ind w:firstLine="562"/>
        <w:jc w:val="left"/>
        <w:textAlignment w:val="auto"/>
        <w:rPr>
          <w:color w:val="auto"/>
          <w:highlight w:val="none"/>
        </w:rPr>
      </w:pPr>
      <w:r>
        <w:rPr>
          <w:rFonts w:hint="eastAsia"/>
          <w:color w:val="auto"/>
          <w:highlight w:val="none"/>
        </w:rPr>
        <w:t>3.实施情况</w:t>
      </w:r>
    </w:p>
    <w:p w14:paraId="4EFCA981">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rPr>
        <w:t>和静县社会保险中心</w:t>
      </w:r>
      <w:r>
        <w:rPr>
          <w:rFonts w:hint="eastAsia"/>
          <w:color w:val="auto"/>
          <w:highlight w:val="none"/>
          <w:lang w:val="en-US" w:eastAsia="zh-CN"/>
        </w:rPr>
        <w:t>。</w:t>
      </w:r>
    </w:p>
    <w:p w14:paraId="39548A29">
      <w:pPr>
        <w:keepNext w:val="0"/>
        <w:pageBreakBefore w:val="0"/>
        <w:widowControl w:val="0"/>
        <w:kinsoku/>
        <w:wordWrap/>
        <w:overflowPunct/>
        <w:topLinePunct w:val="0"/>
        <w:autoSpaceDE/>
        <w:autoSpaceDN/>
        <w:bidi w:val="0"/>
        <w:adjustRightInd/>
        <w:ind w:firstLine="560"/>
        <w:textAlignment w:val="auto"/>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1E36D6D0">
      <w:pPr>
        <w:keepNext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截止到2024年12月31日，</w:t>
      </w:r>
      <w:bookmarkStart w:id="1" w:name="OLE_LINK2"/>
      <w:r>
        <w:rPr>
          <w:rFonts w:hint="eastAsia"/>
          <w:color w:val="auto"/>
          <w:highlight w:val="none"/>
        </w:rPr>
        <w:t>全县破产企业退休职工 214人，每月每人120元标准发放社会标准，政府每年落实生活补助金，我们社保中心确保及时发放，及时核定人数，申请资金及时拨付。</w:t>
      </w:r>
    </w:p>
    <w:bookmarkEnd w:id="1"/>
    <w:p w14:paraId="2FAF2BD4">
      <w:pPr>
        <w:pStyle w:val="2"/>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4.资金投入和使用情况</w:t>
      </w:r>
    </w:p>
    <w:p w14:paraId="56B091A9">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（1）项目资金安排落实、总投入等情况分析</w:t>
      </w:r>
    </w:p>
    <w:p w14:paraId="4F0D3789">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30.89</w:t>
      </w:r>
      <w:r>
        <w:rPr>
          <w:color w:val="auto"/>
          <w:highlight w:val="none"/>
        </w:rPr>
        <w:t>万元，</w:t>
      </w:r>
      <w:r>
        <w:rPr>
          <w:rFonts w:hint="eastAsia"/>
          <w:color w:val="auto"/>
          <w:highlight w:val="none"/>
        </w:rPr>
        <w:t>资金来源为</w:t>
      </w:r>
      <w:r>
        <w:rPr>
          <w:rFonts w:hint="eastAsia"/>
          <w:color w:val="auto"/>
          <w:highlight w:val="none"/>
          <w:lang w:eastAsia="zh-CN"/>
        </w:rPr>
        <w:t>州级</w:t>
      </w:r>
      <w:r>
        <w:rPr>
          <w:rFonts w:hint="eastAsia"/>
          <w:color w:val="auto"/>
          <w:highlight w:val="none"/>
        </w:rPr>
        <w:t>专项资金，</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30.89</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30.89</w:t>
      </w:r>
      <w:r>
        <w:rPr>
          <w:color w:val="auto"/>
          <w:highlight w:val="none"/>
        </w:rPr>
        <w:t>万元，预算资金到位率为</w:t>
      </w:r>
      <w:r>
        <w:rPr>
          <w:rFonts w:hint="eastAsia"/>
          <w:color w:val="auto"/>
          <w:highlight w:val="none"/>
          <w:lang w:val="en-US" w:eastAsia="zh-CN"/>
        </w:rPr>
        <w:t>100</w:t>
      </w:r>
      <w:r>
        <w:rPr>
          <w:color w:val="auto"/>
          <w:highlight w:val="none"/>
        </w:rPr>
        <w:t xml:space="preserve"> %。</w:t>
      </w:r>
    </w:p>
    <w:p w14:paraId="5671B7C1">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（2）项目资金实际使用情况分析</w:t>
      </w:r>
    </w:p>
    <w:p w14:paraId="138B8CEA">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val="en-US" w:eastAsia="zh-CN"/>
        </w:rPr>
        <w:t>截至2024年12月31日，本项目实际支出30.89万元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。本项目资金主要用于支付全县破产企业退休职工 214人，每月每人120元标准发放社会标准，政府每年落实生活补助金，我们社保中心确保及时发放，及时核定人数，申请资金及时拨付。</w:t>
      </w:r>
    </w:p>
    <w:p w14:paraId="43B0D1D9">
      <w:pPr>
        <w:pStyle w:val="4"/>
        <w:keepNext w:val="0"/>
        <w:pageBreakBefore w:val="0"/>
        <w:widowControl w:val="0"/>
        <w:numPr>
          <w:ilvl w:val="0"/>
          <w:numId w:val="2"/>
        </w:numPr>
        <w:kinsoku/>
        <w:wordWrap/>
        <w:overflowPunct/>
        <w:topLinePunct w:val="0"/>
        <w:autoSpaceDE/>
        <w:autoSpaceDN/>
        <w:bidi w:val="0"/>
        <w:adjustRightInd/>
        <w:ind w:firstLine="643"/>
        <w:textAlignment w:val="auto"/>
        <w:rPr>
          <w:color w:val="auto"/>
          <w:highlight w:val="none"/>
        </w:rPr>
      </w:pPr>
      <w:r>
        <w:rPr>
          <w:rFonts w:hint="eastAsia"/>
          <w:color w:val="auto"/>
          <w:highlight w:val="none"/>
        </w:rPr>
        <w:t>项目绩效目标</w:t>
      </w:r>
    </w:p>
    <w:p w14:paraId="722F43CB">
      <w:pPr>
        <w:pStyle w:val="2"/>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1.总体目标</w:t>
      </w:r>
    </w:p>
    <w:p w14:paraId="7D443BAA">
      <w:pPr>
        <w:keepNext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目标1:国家安排95年底前困难企业退休人员发放生活补助。为了提高生活水平，政府每年落实生活补助金，我们中心确保每季度及时发放，及时核定人数，资金到位按时发放。</w:t>
      </w:r>
    </w:p>
    <w:p w14:paraId="4922A293">
      <w:pPr>
        <w:keepNext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目标2:生活补助发放可以提高生活水平，减轻生活负担。</w:t>
      </w:r>
    </w:p>
    <w:p w14:paraId="6485E970">
      <w:pPr>
        <w:pStyle w:val="2"/>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2.阶段性目标</w:t>
      </w:r>
    </w:p>
    <w:p w14:paraId="3849EF79">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w:t>
      </w:r>
      <w:r>
        <w:rPr>
          <w:rFonts w:hint="eastAsia"/>
          <w:color w:val="auto"/>
          <w:highlight w:val="none"/>
          <w:lang w:eastAsia="zh-CN"/>
        </w:rPr>
        <w:t>我中心</w:t>
      </w:r>
      <w:r>
        <w:rPr>
          <w:rFonts w:hint="eastAsia"/>
          <w:color w:val="auto"/>
          <w:highlight w:val="none"/>
        </w:rPr>
        <w:t>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249AA040">
      <w:pPr>
        <w:keepNext w:val="0"/>
        <w:pageBreakBefore w:val="0"/>
        <w:widowControl w:val="0"/>
        <w:kinsoku/>
        <w:wordWrap/>
        <w:overflowPunct/>
        <w:topLinePunct w:val="0"/>
        <w:autoSpaceDE/>
        <w:autoSpaceDN/>
        <w:bidi w:val="0"/>
        <w:adjustRightInd/>
        <w:textAlignment w:val="auto"/>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7AB4D996">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①数量指标</w:t>
      </w:r>
    </w:p>
    <w:p w14:paraId="7A38E611">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val="en-US" w:eastAsia="zh-CN"/>
        </w:rPr>
        <w:t>“享受生活补助人员”指标，预期指标值为≤214人。</w:t>
      </w:r>
    </w:p>
    <w:p w14:paraId="7BC414A9">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②质量指标</w:t>
      </w:r>
    </w:p>
    <w:p w14:paraId="054FBFCA">
      <w:pPr>
        <w:keepNext w:val="0"/>
        <w:pageBreakBefore w:val="0"/>
        <w:widowControl w:val="0"/>
        <w:kinsoku/>
        <w:wordWrap/>
        <w:overflowPunct/>
        <w:topLinePunct w:val="0"/>
        <w:autoSpaceDE/>
        <w:autoSpaceDN/>
        <w:bidi w:val="0"/>
        <w:adjustRightInd/>
        <w:ind w:firstLine="560"/>
        <w:textAlignment w:val="auto"/>
        <w:rPr>
          <w:rFonts w:hint="eastAsia"/>
          <w:color w:val="auto"/>
          <w:highlight w:val="none"/>
          <w:lang w:val="en-US" w:eastAsia="zh-CN"/>
        </w:rPr>
      </w:pPr>
      <w:r>
        <w:rPr>
          <w:rFonts w:hint="eastAsia"/>
          <w:color w:val="auto"/>
          <w:highlight w:val="none"/>
          <w:lang w:val="en-US" w:eastAsia="zh-CN"/>
        </w:rPr>
        <w:t>“发放补助准确率”指标，预期指标值为=100%。</w:t>
      </w:r>
    </w:p>
    <w:p w14:paraId="71B02732">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val="en-US" w:eastAsia="zh-CN"/>
        </w:rPr>
        <w:t>“符合补助政策人员享受覆盖率”指标，预期指标值为=100%。</w:t>
      </w:r>
    </w:p>
    <w:p w14:paraId="30ECEFDE">
      <w:pPr>
        <w:keepNext w:val="0"/>
        <w:pageBreakBefore w:val="0"/>
        <w:widowControl w:val="0"/>
        <w:kinsoku/>
        <w:wordWrap/>
        <w:overflowPunct/>
        <w:topLinePunct w:val="0"/>
        <w:autoSpaceDE/>
        <w:autoSpaceDN/>
        <w:bidi w:val="0"/>
        <w:adjustRightInd/>
        <w:ind w:left="0" w:leftChars="0" w:firstLine="560" w:firstLineChars="200"/>
        <w:textAlignment w:val="auto"/>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32ACC831">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“生活补助发放及时率”指标，预期指标值为=100%</w:t>
      </w:r>
      <w:r>
        <w:rPr>
          <w:rFonts w:hint="eastAsia"/>
          <w:color w:val="auto"/>
          <w:highlight w:val="none"/>
          <w:lang w:val="en-US" w:eastAsia="zh-CN"/>
        </w:rPr>
        <w:t>。</w:t>
      </w:r>
    </w:p>
    <w:p w14:paraId="4319DF5B">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④成本指标</w:t>
      </w:r>
    </w:p>
    <w:p w14:paraId="4D3E9D07">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“补助发放标准”指标，预期指标值为&lt;=120元/月/人；</w:t>
      </w:r>
    </w:p>
    <w:p w14:paraId="3B65E91E">
      <w:pPr>
        <w:keepNext w:val="0"/>
        <w:pageBreakBefore w:val="0"/>
        <w:widowControl w:val="0"/>
        <w:kinsoku/>
        <w:wordWrap/>
        <w:overflowPunct/>
        <w:topLinePunct w:val="0"/>
        <w:autoSpaceDE/>
        <w:autoSpaceDN/>
        <w:bidi w:val="0"/>
        <w:adjustRightInd/>
        <w:ind w:firstLine="560"/>
        <w:textAlignment w:val="auto"/>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421AC312">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①经济效益指标</w:t>
      </w:r>
    </w:p>
    <w:p w14:paraId="06D1542B">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val="en-US" w:eastAsia="zh-CN"/>
        </w:rPr>
        <w:t>无</w:t>
      </w:r>
      <w:r>
        <w:rPr>
          <w:rFonts w:hint="eastAsia"/>
          <w:color w:val="auto"/>
          <w:highlight w:val="none"/>
        </w:rPr>
        <w:t>；</w:t>
      </w:r>
    </w:p>
    <w:p w14:paraId="32C4522D">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②社会效益指标</w:t>
      </w:r>
    </w:p>
    <w:p w14:paraId="5FB95381">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“提高享政策受人员生活水平”指标，预期指标值为有效提高；</w:t>
      </w:r>
    </w:p>
    <w:p w14:paraId="20C852F8">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“政策知晓率”指标，预期指标值为&gt;=95%；</w:t>
      </w:r>
    </w:p>
    <w:p w14:paraId="36450E0C">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③生态效益指标</w:t>
      </w:r>
    </w:p>
    <w:p w14:paraId="05E1B5E4">
      <w:pPr>
        <w:keepNext w:val="0"/>
        <w:pageBreakBefore w:val="0"/>
        <w:widowControl w:val="0"/>
        <w:kinsoku/>
        <w:wordWrap/>
        <w:overflowPunct/>
        <w:topLinePunct w:val="0"/>
        <w:autoSpaceDE/>
        <w:autoSpaceDN/>
        <w:bidi w:val="0"/>
        <w:adjustRightInd/>
        <w:ind w:firstLine="560"/>
        <w:textAlignment w:val="auto"/>
        <w:rPr>
          <w:rFonts w:hint="eastAsia"/>
          <w:color w:val="auto"/>
          <w:highlight w:val="none"/>
          <w:lang w:eastAsia="zh-CN"/>
        </w:rPr>
      </w:pPr>
      <w:r>
        <w:rPr>
          <w:rFonts w:hint="eastAsia"/>
          <w:color w:val="auto"/>
          <w:highlight w:val="none"/>
          <w:lang w:eastAsia="zh-CN"/>
        </w:rPr>
        <w:t>无</w:t>
      </w:r>
    </w:p>
    <w:p w14:paraId="790754FB">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④可持续影响</w:t>
      </w:r>
    </w:p>
    <w:p w14:paraId="5A597451">
      <w:pPr>
        <w:keepNext w:val="0"/>
        <w:pageBreakBefore w:val="0"/>
        <w:widowControl w:val="0"/>
        <w:kinsoku/>
        <w:wordWrap/>
        <w:overflowPunct/>
        <w:topLinePunct w:val="0"/>
        <w:autoSpaceDE/>
        <w:autoSpaceDN/>
        <w:bidi w:val="0"/>
        <w:adjustRightInd/>
        <w:ind w:firstLine="560"/>
        <w:textAlignment w:val="auto"/>
        <w:rPr>
          <w:rFonts w:hint="eastAsia"/>
          <w:color w:val="auto"/>
          <w:highlight w:val="none"/>
          <w:lang w:eastAsia="zh-CN"/>
        </w:rPr>
      </w:pPr>
      <w:r>
        <w:rPr>
          <w:rFonts w:hint="eastAsia"/>
          <w:color w:val="auto"/>
          <w:highlight w:val="none"/>
          <w:lang w:eastAsia="zh-CN"/>
        </w:rPr>
        <w:t>无</w:t>
      </w:r>
    </w:p>
    <w:p w14:paraId="51730147">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val="en-US" w:eastAsia="zh-CN"/>
        </w:rPr>
        <w:t>⑤</w:t>
      </w:r>
      <w:r>
        <w:rPr>
          <w:rFonts w:hint="eastAsia"/>
          <w:color w:val="auto"/>
          <w:highlight w:val="none"/>
        </w:rPr>
        <w:t>满意度指标</w:t>
      </w:r>
    </w:p>
    <w:p w14:paraId="68E7D8C1">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“享受群众满意度”指标，预期指标值为=100%；</w:t>
      </w:r>
    </w:p>
    <w:p w14:paraId="5B528E86">
      <w:pPr>
        <w:pStyle w:val="3"/>
        <w:keepNext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rPr>
        <w:t>二、绩效评价工作开展情况</w:t>
      </w:r>
    </w:p>
    <w:p w14:paraId="16154E10">
      <w:pPr>
        <w:pStyle w:val="4"/>
        <w:keepNext w:val="0"/>
        <w:pageBreakBefore w:val="0"/>
        <w:widowControl w:val="0"/>
        <w:kinsoku/>
        <w:wordWrap/>
        <w:overflowPunct/>
        <w:topLinePunct w:val="0"/>
        <w:autoSpaceDE/>
        <w:autoSpaceDN/>
        <w:bidi w:val="0"/>
        <w:adjustRightInd/>
        <w:ind w:firstLine="643"/>
        <w:textAlignment w:val="auto"/>
        <w:rPr>
          <w:color w:val="auto"/>
          <w:highlight w:val="none"/>
        </w:rPr>
      </w:pPr>
      <w:bookmarkStart w:id="2" w:name="_Toc26632"/>
      <w:bookmarkStart w:id="3" w:name="_Toc22169_WPSOffice_Level2"/>
      <w:bookmarkStart w:id="4" w:name="_Toc5462343"/>
      <w:bookmarkStart w:id="5" w:name="_Toc21664"/>
      <w:bookmarkStart w:id="6" w:name="_Toc480473081"/>
      <w:bookmarkStart w:id="7" w:name="_Toc22922"/>
      <w:bookmarkStart w:id="8" w:name="_Toc12868"/>
      <w:bookmarkStart w:id="9" w:name="_Toc5258"/>
      <w:r>
        <w:rPr>
          <w:rFonts w:hint="eastAsia"/>
          <w:color w:val="auto"/>
          <w:highlight w:val="none"/>
        </w:rPr>
        <w:t>（一）绩效评价的目的</w:t>
      </w:r>
      <w:bookmarkEnd w:id="2"/>
      <w:bookmarkEnd w:id="3"/>
      <w:bookmarkEnd w:id="4"/>
      <w:bookmarkEnd w:id="5"/>
      <w:bookmarkEnd w:id="6"/>
      <w:bookmarkEnd w:id="7"/>
      <w:bookmarkEnd w:id="8"/>
      <w:bookmarkEnd w:id="9"/>
      <w:r>
        <w:rPr>
          <w:rFonts w:hint="eastAsia"/>
          <w:color w:val="auto"/>
          <w:highlight w:val="none"/>
        </w:rPr>
        <w:t>、对象和范围</w:t>
      </w:r>
    </w:p>
    <w:p w14:paraId="4104970F">
      <w:pPr>
        <w:pStyle w:val="2"/>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3F9B32BD">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我中心</w:t>
      </w:r>
      <w:r>
        <w:rPr>
          <w:rFonts w:hint="eastAsia"/>
          <w:color w:val="auto"/>
          <w:highlight w:val="none"/>
        </w:rPr>
        <w:t>针对2024年州直关闭破产企业1995年底前退休人员生活补贴资金项目开展本次部门项目支出绩效评价工作。通过绩效评价，促进本单位发现问题、总结经验、改进工作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49F42E6B">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7297A146">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5FAB449A">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5230EA72">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0C6862CA">
      <w:pPr>
        <w:pStyle w:val="2"/>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2.绩效评价对象</w:t>
      </w:r>
    </w:p>
    <w:p w14:paraId="07A27E84">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此次</w:t>
      </w:r>
      <w:r>
        <w:rPr>
          <w:rFonts w:hint="eastAsia"/>
          <w:color w:val="auto"/>
          <w:highlight w:val="none"/>
          <w:lang w:eastAsia="zh-CN"/>
        </w:rPr>
        <w:t>我中心</w:t>
      </w:r>
      <w:r>
        <w:rPr>
          <w:rFonts w:hint="eastAsia"/>
          <w:color w:val="auto"/>
          <w:highlight w:val="none"/>
        </w:rPr>
        <w:t>根据《财政支出绩效评价管理暂行办法》（财预〔2020〕10号）文件要求实施评价工作，本次评价对象为2024年州直关闭破产企业1995年底前退休人员生活补贴资，评价核心为项目</w:t>
      </w:r>
      <w:r>
        <w:rPr>
          <w:rFonts w:hint="eastAsia"/>
          <w:color w:val="auto"/>
          <w:highlight w:val="none"/>
          <w:lang w:val="en-US" w:eastAsia="zh-CN"/>
        </w:rPr>
        <w:t>的资金投入、产出及效益</w:t>
      </w:r>
      <w:r>
        <w:rPr>
          <w:rFonts w:hint="eastAsia"/>
          <w:color w:val="auto"/>
          <w:highlight w:val="none"/>
        </w:rPr>
        <w:t>。</w:t>
      </w:r>
    </w:p>
    <w:p w14:paraId="7075B33F">
      <w:pPr>
        <w:pStyle w:val="2"/>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3.绩效评价范围</w:t>
      </w:r>
    </w:p>
    <w:p w14:paraId="1D9D032C">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547402AE">
      <w:pPr>
        <w:pStyle w:val="4"/>
        <w:keepNext w:val="0"/>
        <w:pageBreakBefore w:val="0"/>
        <w:widowControl w:val="0"/>
        <w:kinsoku/>
        <w:wordWrap/>
        <w:overflowPunct/>
        <w:topLinePunct w:val="0"/>
        <w:autoSpaceDE/>
        <w:autoSpaceDN/>
        <w:bidi w:val="0"/>
        <w:adjustRightInd/>
        <w:ind w:firstLine="643"/>
        <w:textAlignment w:val="auto"/>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235A87E1">
      <w:pPr>
        <w:pStyle w:val="2"/>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1.绩效评价原则</w:t>
      </w:r>
    </w:p>
    <w:p w14:paraId="35D81806">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3C05A1B3">
      <w:pPr>
        <w:keepNext w:val="0"/>
        <w:pageBreakBefore w:val="0"/>
        <w:widowControl w:val="0"/>
        <w:kinsoku/>
        <w:wordWrap/>
        <w:overflowPunct/>
        <w:topLinePunct w:val="0"/>
        <w:autoSpaceDE/>
        <w:autoSpaceDN/>
        <w:bidi w:val="0"/>
        <w:adjustRightInd/>
        <w:ind w:firstLine="560"/>
        <w:textAlignment w:val="auto"/>
        <w:rPr>
          <w:color w:val="auto"/>
          <w:highlight w:val="none"/>
        </w:rPr>
      </w:pPr>
      <w:bookmarkStart w:id="10" w:name="_Toc419984722"/>
      <w:bookmarkStart w:id="11" w:name="_Toc428278230"/>
      <w:bookmarkStart w:id="12" w:name="_Toc1913"/>
      <w:bookmarkStart w:id="13" w:name="_Toc26131"/>
      <w:r>
        <w:rPr>
          <w:rFonts w:hint="eastAsia"/>
          <w:color w:val="auto"/>
          <w:highlight w:val="none"/>
        </w:rPr>
        <w:t>（1）科学公正。绩效评价应当运用科学合理的方法，按照规范的程序，对项目绩效进行客观、公正的反映。</w:t>
      </w:r>
    </w:p>
    <w:p w14:paraId="38CDC30A">
      <w:pPr>
        <w:keepNext w:val="0"/>
        <w:pageBreakBefore w:val="0"/>
        <w:widowControl w:val="0"/>
        <w:kinsoku/>
        <w:wordWrap/>
        <w:overflowPunct/>
        <w:topLinePunct w:val="0"/>
        <w:autoSpaceDE/>
        <w:autoSpaceDN/>
        <w:bidi w:val="0"/>
        <w:adjustRightInd/>
        <w:snapToGrid w:val="0"/>
        <w:ind w:firstLine="560"/>
        <w:textAlignment w:val="auto"/>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2494769B">
      <w:pPr>
        <w:keepNext w:val="0"/>
        <w:pageBreakBefore w:val="0"/>
        <w:widowControl w:val="0"/>
        <w:kinsoku/>
        <w:wordWrap/>
        <w:overflowPunct/>
        <w:topLinePunct w:val="0"/>
        <w:autoSpaceDE/>
        <w:autoSpaceDN/>
        <w:bidi w:val="0"/>
        <w:adjustRightInd/>
        <w:snapToGrid w:val="0"/>
        <w:ind w:firstLine="560"/>
        <w:textAlignment w:val="auto"/>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340BE0F0">
      <w:pPr>
        <w:keepNext w:val="0"/>
        <w:pageBreakBefore w:val="0"/>
        <w:widowControl w:val="0"/>
        <w:kinsoku/>
        <w:wordWrap/>
        <w:overflowPunct/>
        <w:topLinePunct w:val="0"/>
        <w:autoSpaceDE/>
        <w:autoSpaceDN/>
        <w:bidi w:val="0"/>
        <w:adjustRightInd/>
        <w:snapToGrid w:val="0"/>
        <w:ind w:firstLine="560"/>
        <w:textAlignment w:val="auto"/>
        <w:rPr>
          <w:color w:val="auto"/>
          <w:highlight w:val="none"/>
        </w:rPr>
      </w:pPr>
      <w:r>
        <w:rPr>
          <w:rFonts w:hint="eastAsia"/>
          <w:color w:val="auto"/>
          <w:highlight w:val="none"/>
        </w:rPr>
        <w:t>（4）公开透明。绩效评价结果应依法依规公开，并自觉接受社会监督。</w:t>
      </w:r>
    </w:p>
    <w:p w14:paraId="33911075">
      <w:pPr>
        <w:keepNext w:val="0"/>
        <w:pageBreakBefore w:val="0"/>
        <w:widowControl w:val="0"/>
        <w:kinsoku/>
        <w:wordWrap/>
        <w:overflowPunct/>
        <w:topLinePunct w:val="0"/>
        <w:autoSpaceDE/>
        <w:autoSpaceDN/>
        <w:bidi w:val="0"/>
        <w:adjustRightInd/>
        <w:snapToGrid w:val="0"/>
        <w:ind w:firstLine="560"/>
        <w:textAlignment w:val="auto"/>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14:paraId="4CD63544">
      <w:pPr>
        <w:keepNext w:val="0"/>
        <w:pageBreakBefore w:val="0"/>
        <w:widowControl w:val="0"/>
        <w:kinsoku/>
        <w:wordWrap/>
        <w:overflowPunct/>
        <w:topLinePunct w:val="0"/>
        <w:autoSpaceDE/>
        <w:autoSpaceDN/>
        <w:bidi w:val="0"/>
        <w:adjustRightInd/>
        <w:snapToGrid w:val="0"/>
        <w:ind w:firstLine="560"/>
        <w:textAlignment w:val="auto"/>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38E829AC">
      <w:pPr>
        <w:keepNext w:val="0"/>
        <w:pageBreakBefore w:val="0"/>
        <w:widowControl w:val="0"/>
        <w:kinsoku/>
        <w:wordWrap/>
        <w:overflowPunct/>
        <w:topLinePunct w:val="0"/>
        <w:autoSpaceDE/>
        <w:autoSpaceDN/>
        <w:bidi w:val="0"/>
        <w:adjustRightInd/>
        <w:snapToGrid w:val="0"/>
        <w:ind w:firstLine="560"/>
        <w:textAlignment w:val="auto"/>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08A7CCFA">
      <w:pPr>
        <w:keepNext w:val="0"/>
        <w:pageBreakBefore w:val="0"/>
        <w:widowControl w:val="0"/>
        <w:kinsoku/>
        <w:wordWrap/>
        <w:overflowPunct/>
        <w:topLinePunct w:val="0"/>
        <w:autoSpaceDE/>
        <w:autoSpaceDN/>
        <w:bidi w:val="0"/>
        <w:adjustRightInd/>
        <w:snapToGrid w:val="0"/>
        <w:ind w:firstLine="560"/>
        <w:textAlignment w:val="auto"/>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6160433A">
      <w:pPr>
        <w:pStyle w:val="2"/>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2.绩效评价指标体系</w:t>
      </w:r>
      <w:bookmarkEnd w:id="10"/>
      <w:bookmarkEnd w:id="11"/>
      <w:bookmarkEnd w:id="12"/>
      <w:bookmarkEnd w:id="13"/>
    </w:p>
    <w:p w14:paraId="04606F57">
      <w:pPr>
        <w:keepNext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lang w:eastAsia="zh-CN"/>
        </w:rPr>
        <w:t>我中心</w:t>
      </w:r>
      <w:r>
        <w:rPr>
          <w:rFonts w:hint="eastAsia"/>
          <w:color w:val="auto"/>
          <w:highlight w:val="none"/>
        </w:rPr>
        <w:t>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19CF50D6">
      <w:pPr>
        <w:pStyle w:val="2"/>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3.评价方法</w:t>
      </w:r>
    </w:p>
    <w:p w14:paraId="3B40F937">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绩效评价方法主要包括成本效益分析法、比较法、因素分析法、最低成本法、公众评判法、标杆管理法等。</w:t>
      </w:r>
      <w:r>
        <w:rPr>
          <w:rFonts w:hint="eastAsia"/>
          <w:color w:val="auto"/>
          <w:highlight w:val="none"/>
          <w:lang w:eastAsia="zh-CN"/>
        </w:rPr>
        <w:t>我中心</w:t>
      </w:r>
      <w:r>
        <w:rPr>
          <w:rFonts w:hint="eastAsia"/>
          <w:color w:val="auto"/>
          <w:highlight w:val="none"/>
        </w:rPr>
        <w:t>根据本项目资金的性质和特点，选用比较法、因素分析法、公众评判法以及文献法对项目进行评价，旨在通过综合分析影响绩效目标实现、实施效果的内外部因素，从而评价本项目绩效。</w:t>
      </w:r>
    </w:p>
    <w:p w14:paraId="4C4BCB67">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008A37FF">
      <w:pPr>
        <w:keepNext w:val="0"/>
        <w:pageBreakBefore w:val="0"/>
        <w:widowControl w:val="0"/>
        <w:kinsoku/>
        <w:wordWrap/>
        <w:overflowPunct/>
        <w:topLinePunct w:val="0"/>
        <w:autoSpaceDE/>
        <w:autoSpaceDN/>
        <w:bidi w:val="0"/>
        <w:adjustRightInd/>
        <w:ind w:firstLine="560"/>
        <w:textAlignment w:val="auto"/>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16E09A6E">
      <w:pPr>
        <w:keepNext w:val="0"/>
        <w:pageBreakBefore w:val="0"/>
        <w:widowControl w:val="0"/>
        <w:kinsoku/>
        <w:wordWrap/>
        <w:overflowPunct/>
        <w:topLinePunct w:val="0"/>
        <w:autoSpaceDE/>
        <w:autoSpaceDN/>
        <w:bidi w:val="0"/>
        <w:adjustRightInd/>
        <w:ind w:firstLine="560"/>
        <w:textAlignment w:val="auto"/>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14:paraId="3396E047">
      <w:pPr>
        <w:keepNext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59E8A528">
      <w:pPr>
        <w:pStyle w:val="6"/>
        <w:keepNext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36FAE81D">
      <w:pPr>
        <w:pStyle w:val="6"/>
        <w:keepNext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13F00573">
      <w:pPr>
        <w:pStyle w:val="6"/>
        <w:keepNext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695EFFA5">
      <w:pPr>
        <w:pStyle w:val="6"/>
        <w:keepNext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6FE8B307">
      <w:pPr>
        <w:pStyle w:val="6"/>
        <w:keepNext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7C3C082C">
      <w:pPr>
        <w:pStyle w:val="6"/>
        <w:keepNext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2E40C52D">
      <w:pPr>
        <w:pStyle w:val="6"/>
        <w:keepNext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225DFC39">
      <w:pPr>
        <w:pStyle w:val="6"/>
        <w:keepNext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4E2CC012">
      <w:pPr>
        <w:pStyle w:val="6"/>
        <w:keepNext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297691AD">
      <w:pPr>
        <w:pStyle w:val="6"/>
        <w:keepNext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35749EC4">
      <w:pPr>
        <w:pStyle w:val="6"/>
        <w:keepNext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75C378BD">
      <w:pPr>
        <w:pStyle w:val="6"/>
        <w:keepNext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5B7923DC">
      <w:pPr>
        <w:pStyle w:val="2"/>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4.评价标准</w:t>
      </w:r>
    </w:p>
    <w:p w14:paraId="08531C50">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29640074">
      <w:pPr>
        <w:pStyle w:val="4"/>
        <w:keepNext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rPr>
        <w:t>（三）绩效评价工作过程</w:t>
      </w:r>
    </w:p>
    <w:p w14:paraId="550977DF">
      <w:pPr>
        <w:pStyle w:val="2"/>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1.前期准备</w:t>
      </w:r>
    </w:p>
    <w:p w14:paraId="42D79C0B">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eastAsia="zh-CN"/>
        </w:rPr>
        <w:t>我中心</w:t>
      </w:r>
      <w:r>
        <w:rPr>
          <w:rFonts w:hint="eastAsia"/>
          <w:color w:val="auto"/>
          <w:highlight w:val="none"/>
        </w:rPr>
        <w:t>于</w:t>
      </w: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2A871F65">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eastAsia="zh-CN"/>
        </w:rPr>
        <w:t>权云峰</w:t>
      </w:r>
      <w:r>
        <w:rPr>
          <w:rFonts w:hint="eastAsia"/>
          <w:color w:val="auto"/>
          <w:highlight w:val="none"/>
        </w:rPr>
        <w:t>（评价小组组长）：</w:t>
      </w:r>
      <w:r>
        <w:rPr>
          <w:rFonts w:hint="eastAsia"/>
          <w:color w:val="auto"/>
          <w:highlight w:val="none"/>
        </w:rPr>
        <w:t>主要负责</w:t>
      </w:r>
      <w:r>
        <w:rPr>
          <w:rFonts w:hint="eastAsia"/>
          <w:color w:val="auto"/>
          <w:highlight w:val="none"/>
          <w:lang w:val="en-US" w:eastAsia="zh-CN"/>
        </w:rPr>
        <w:t>确定绩效评价</w:t>
      </w:r>
      <w:r>
        <w:rPr>
          <w:rFonts w:hint="eastAsia"/>
          <w:color w:val="auto"/>
          <w:highlight w:val="none"/>
          <w:lang w:val="en-US" w:eastAsia="zh-Hans"/>
        </w:rPr>
        <w:t>模</w:t>
      </w:r>
      <w:r>
        <w:rPr>
          <w:rFonts w:hint="eastAsia"/>
          <w:color w:val="auto"/>
          <w:highlight w:val="none"/>
          <w:lang w:val="en-US" w:eastAsia="zh-CN"/>
        </w:rPr>
        <w:t>板</w:t>
      </w:r>
      <w:r>
        <w:rPr>
          <w:rFonts w:hint="eastAsia"/>
          <w:color w:val="auto"/>
          <w:highlight w:val="none"/>
        </w:rPr>
        <w:t>、总体协调沟通、全盘统筹、</w:t>
      </w:r>
      <w:r>
        <w:rPr>
          <w:rFonts w:hint="eastAsia"/>
          <w:color w:val="auto"/>
          <w:highlight w:val="none"/>
          <w:lang w:val="en-US" w:eastAsia="zh-CN"/>
        </w:rPr>
        <w:t>总体</w:t>
      </w:r>
      <w:r>
        <w:rPr>
          <w:rFonts w:hint="eastAsia"/>
          <w:color w:val="auto"/>
          <w:highlight w:val="none"/>
        </w:rPr>
        <w:t>质量把关等工作</w:t>
      </w:r>
      <w:r>
        <w:rPr>
          <w:rFonts w:hint="eastAsia"/>
          <w:color w:val="auto"/>
          <w:highlight w:val="none"/>
        </w:rPr>
        <w:t>;</w:t>
      </w:r>
    </w:p>
    <w:p w14:paraId="7521A6B4">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eastAsia="zh-CN"/>
        </w:rPr>
        <w:t>巴都木其其克</w:t>
      </w:r>
      <w:r>
        <w:rPr>
          <w:rFonts w:hint="eastAsia"/>
          <w:color w:val="auto"/>
          <w:highlight w:val="none"/>
        </w:rPr>
        <w:t>（评价小组组员）：</w:t>
      </w:r>
      <w:r>
        <w:rPr>
          <w:rFonts w:hint="eastAsia"/>
          <w:color w:val="auto"/>
          <w:highlight w:val="none"/>
        </w:rPr>
        <w:t>主要负责绩效评价现场督导，对评价组成员的评价检查工作提供技术指导与支持，对实效评价工作质量把关</w:t>
      </w:r>
      <w:r>
        <w:rPr>
          <w:rFonts w:hint="eastAsia"/>
          <w:color w:val="auto"/>
          <w:highlight w:val="none"/>
        </w:rPr>
        <w:t>;</w:t>
      </w:r>
    </w:p>
    <w:p w14:paraId="79FBA340">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eastAsia="zh-CN"/>
        </w:rPr>
        <w:t>孟格焦里，木克热木</w:t>
      </w:r>
      <w:r>
        <w:rPr>
          <w:rFonts w:hint="eastAsia"/>
          <w:color w:val="auto"/>
          <w:highlight w:val="none"/>
        </w:rPr>
        <w:t>（评价小组组员）：</w:t>
      </w:r>
      <w:r>
        <w:rPr>
          <w:rFonts w:hint="eastAsia"/>
          <w:color w:val="auto"/>
          <w:highlight w:val="none"/>
        </w:rPr>
        <w:t>主要负责现场调研工作，完成收集整理资料、审核数据、填报绩效评价内容等工作</w:t>
      </w:r>
      <w:r>
        <w:rPr>
          <w:rFonts w:hint="eastAsia"/>
          <w:color w:val="auto"/>
          <w:highlight w:val="none"/>
        </w:rPr>
        <w:t>。</w:t>
      </w:r>
    </w:p>
    <w:p w14:paraId="64E9B555">
      <w:pPr>
        <w:pStyle w:val="2"/>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2.组织实施</w:t>
      </w:r>
    </w:p>
    <w:p w14:paraId="473C62F4">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112FE173">
      <w:pPr>
        <w:pStyle w:val="2"/>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3.分析评价</w:t>
      </w:r>
    </w:p>
    <w:p w14:paraId="43DFB413">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59E3E1BC">
      <w:pPr>
        <w:pStyle w:val="2"/>
        <w:keepNext w:val="0"/>
        <w:pageBreakBefore w:val="0"/>
        <w:widowControl w:val="0"/>
        <w:kinsoku/>
        <w:wordWrap/>
        <w:overflowPunct/>
        <w:topLinePunct w:val="0"/>
        <w:autoSpaceDE/>
        <w:autoSpaceDN/>
        <w:bidi w:val="0"/>
        <w:adjustRightInd/>
        <w:ind w:firstLine="562"/>
        <w:textAlignment w:val="auto"/>
        <w:rPr>
          <w:rFonts w:hint="eastAsia"/>
          <w:color w:val="auto"/>
          <w:highlight w:val="none"/>
        </w:rPr>
      </w:pPr>
      <w:r>
        <w:rPr>
          <w:rFonts w:hint="eastAsia"/>
          <w:color w:val="auto"/>
          <w:highlight w:val="none"/>
        </w:rPr>
        <w:t>4.撰写与提交评价报告</w:t>
      </w:r>
    </w:p>
    <w:p w14:paraId="6B110734">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3</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6D5DB0FD">
      <w:pPr>
        <w:pStyle w:val="2"/>
        <w:keepNext w:val="0"/>
        <w:pageBreakBefore w:val="0"/>
        <w:widowControl w:val="0"/>
        <w:kinsoku/>
        <w:wordWrap/>
        <w:overflowPunct/>
        <w:topLinePunct w:val="0"/>
        <w:autoSpaceDE/>
        <w:autoSpaceDN/>
        <w:bidi w:val="0"/>
        <w:adjustRightInd/>
        <w:ind w:firstLine="562"/>
        <w:textAlignment w:val="auto"/>
        <w:rPr>
          <w:rFonts w:hint="eastAsia"/>
          <w:color w:val="auto"/>
          <w:highlight w:val="none"/>
        </w:rPr>
      </w:pPr>
      <w:r>
        <w:rPr>
          <w:rFonts w:hint="eastAsia"/>
          <w:color w:val="auto"/>
          <w:highlight w:val="none"/>
        </w:rPr>
        <w:t>5.问题整改</w:t>
      </w:r>
    </w:p>
    <w:p w14:paraId="7DD25E79">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75BB10AE">
      <w:pPr>
        <w:pStyle w:val="2"/>
        <w:keepNext w:val="0"/>
        <w:pageBreakBefore w:val="0"/>
        <w:widowControl w:val="0"/>
        <w:kinsoku/>
        <w:wordWrap/>
        <w:overflowPunct/>
        <w:topLinePunct w:val="0"/>
        <w:autoSpaceDE/>
        <w:autoSpaceDN/>
        <w:bidi w:val="0"/>
        <w:adjustRightInd/>
        <w:ind w:firstLine="562"/>
        <w:textAlignment w:val="auto"/>
        <w:rPr>
          <w:rFonts w:hint="eastAsia"/>
          <w:color w:val="auto"/>
          <w:highlight w:val="none"/>
        </w:rPr>
      </w:pPr>
      <w:r>
        <w:rPr>
          <w:rFonts w:hint="eastAsia"/>
          <w:color w:val="auto"/>
          <w:highlight w:val="none"/>
        </w:rPr>
        <w:t>6.档案整理</w:t>
      </w:r>
    </w:p>
    <w:p w14:paraId="23E2623F">
      <w:pPr>
        <w:keepNext w:val="0"/>
        <w:pageBreakBefore w:val="0"/>
        <w:widowControl w:val="0"/>
        <w:kinsoku/>
        <w:wordWrap/>
        <w:overflowPunct/>
        <w:topLinePunct w:val="0"/>
        <w:autoSpaceDE/>
        <w:autoSpaceDN/>
        <w:bidi w:val="0"/>
        <w:adjustRightInd/>
        <w:ind w:firstLine="560"/>
        <w:textAlignment w:val="auto"/>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4F6679E6">
      <w:pPr>
        <w:pStyle w:val="3"/>
        <w:keepNext w:val="0"/>
        <w:pageBreakBefore w:val="0"/>
        <w:widowControl w:val="0"/>
        <w:numPr>
          <w:ilvl w:val="0"/>
          <w:numId w:val="3"/>
        </w:numPr>
        <w:kinsoku/>
        <w:wordWrap/>
        <w:overflowPunct/>
        <w:topLinePunct w:val="0"/>
        <w:autoSpaceDE/>
        <w:autoSpaceDN/>
        <w:bidi w:val="0"/>
        <w:adjustRightInd/>
        <w:ind w:firstLine="643"/>
        <w:textAlignment w:val="auto"/>
        <w:rPr>
          <w:color w:val="auto"/>
          <w:highlight w:val="none"/>
        </w:rPr>
      </w:pPr>
      <w:r>
        <w:rPr>
          <w:rFonts w:hint="eastAsia"/>
          <w:color w:val="auto"/>
          <w:highlight w:val="none"/>
        </w:rPr>
        <w:t>综合评价情况及评价结论</w:t>
      </w:r>
    </w:p>
    <w:p w14:paraId="3E9EE962">
      <w:pPr>
        <w:pStyle w:val="4"/>
        <w:keepNext w:val="0"/>
        <w:pageBreakBefore w:val="0"/>
        <w:widowControl w:val="0"/>
        <w:kinsoku/>
        <w:wordWrap/>
        <w:overflowPunct/>
        <w:topLinePunct w:val="0"/>
        <w:autoSpaceDE/>
        <w:autoSpaceDN/>
        <w:bidi w:val="0"/>
        <w:adjustRightInd/>
        <w:ind w:firstLine="643"/>
        <w:textAlignment w:val="auto"/>
        <w:rPr>
          <w:rFonts w:hint="eastAsia"/>
          <w:b w:val="0"/>
          <w:color w:val="auto"/>
          <w:highlight w:val="none"/>
        </w:rPr>
      </w:pPr>
      <w:r>
        <w:rPr>
          <w:rFonts w:hint="eastAsia"/>
          <w:color w:val="auto"/>
          <w:highlight w:val="none"/>
        </w:rPr>
        <w:t>（一）综合评价情况</w:t>
      </w:r>
    </w:p>
    <w:p w14:paraId="331EBBC8">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lang w:val="zh-TW" w:eastAsia="zh-CN"/>
        </w:rPr>
        <w:t>较大程度</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46EFDFBC">
      <w:pPr>
        <w:keepNext w:val="0"/>
        <w:pageBreakBefore w:val="0"/>
        <w:widowControl w:val="0"/>
        <w:kinsoku/>
        <w:wordWrap/>
        <w:overflowPunct/>
        <w:topLinePunct w:val="0"/>
        <w:autoSpaceDE/>
        <w:autoSpaceDN/>
        <w:bidi w:val="0"/>
        <w:adjustRightInd/>
        <w:ind w:firstLine="560"/>
        <w:textAlignment w:val="auto"/>
        <w:rPr>
          <w:rFonts w:hint="eastAsia" w:ascii="Times New Roman" w:hAnsi="Times New Roman" w:cs="Times New Roman"/>
          <w:color w:val="auto"/>
          <w:highlight w:val="none"/>
          <w:u w:color="000000"/>
          <w:lang w:val="en-US" w:eastAsia="zh-CN"/>
        </w:rPr>
      </w:pPr>
      <w:r>
        <w:rPr>
          <w:rFonts w:hint="eastAsia" w:ascii="Times New Roman" w:hAnsi="Times New Roman" w:cs="Times New Roman"/>
          <w:color w:val="auto"/>
          <w:highlight w:val="none"/>
          <w:u w:color="000000"/>
          <w:lang w:val="en-US" w:eastAsia="zh-CN"/>
        </w:rPr>
        <w:t>一是领导重视到位：高度重视，主要领导亲自抓，并予以充分的人力、财力保障。责任落实到位：将各项目工作列入年度干部绩效考核实施方案，将各项目工作落实到具体科室、具体岗位、具体个人。</w:t>
      </w:r>
    </w:p>
    <w:p w14:paraId="25E3D86C">
      <w:pPr>
        <w:keepNext w:val="0"/>
        <w:pageBreakBefore w:val="0"/>
        <w:widowControl w:val="0"/>
        <w:kinsoku/>
        <w:wordWrap/>
        <w:overflowPunct/>
        <w:topLinePunct w:val="0"/>
        <w:autoSpaceDE/>
        <w:autoSpaceDN/>
        <w:bidi w:val="0"/>
        <w:adjustRightInd/>
        <w:ind w:firstLine="560"/>
        <w:textAlignment w:val="auto"/>
        <w:rPr>
          <w:rFonts w:hint="eastAsia" w:ascii="Times New Roman" w:hAnsi="Times New Roman" w:cs="Times New Roman"/>
          <w:color w:val="auto"/>
          <w:highlight w:val="none"/>
          <w:u w:color="000000"/>
          <w:lang w:val="en-US" w:eastAsia="zh-CN"/>
        </w:rPr>
      </w:pPr>
      <w:r>
        <w:rPr>
          <w:rFonts w:hint="eastAsia" w:ascii="Times New Roman" w:hAnsi="Times New Roman" w:cs="Times New Roman"/>
          <w:color w:val="auto"/>
          <w:highlight w:val="none"/>
          <w:u w:color="000000"/>
          <w:lang w:val="en-US" w:eastAsia="zh-CN"/>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p>
    <w:p w14:paraId="18A66771">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ascii="Times New Roman" w:hAnsi="Times New Roman" w:cs="Times New Roman"/>
          <w:color w:val="auto"/>
          <w:highlight w:val="none"/>
          <w:u w:color="000000"/>
          <w:lang w:val="en-US" w:eastAsia="zh-CN"/>
        </w:rPr>
        <w:t>三是健全项目管理制度。我中心已有保证项目实施的制度、措施等，如《教育部等六部门关于做好家庭经济困难学生认定工作指导意见》、《中央对地方专项转移支付绩效目标管理暂行办法》（财预【2015】163号）、《关于印发新疆维吾尔自治区社会保险贴办法的通知》(新人社规【2020】1号）文件。</w:t>
      </w:r>
    </w:p>
    <w:p w14:paraId="7CDFCF0E">
      <w:pPr>
        <w:pStyle w:val="4"/>
        <w:keepNext w:val="0"/>
        <w:pageBreakBefore w:val="0"/>
        <w:widowControl w:val="0"/>
        <w:kinsoku/>
        <w:wordWrap/>
        <w:overflowPunct/>
        <w:topLinePunct w:val="0"/>
        <w:autoSpaceDE/>
        <w:autoSpaceDN/>
        <w:bidi w:val="0"/>
        <w:adjustRightInd/>
        <w:ind w:left="560" w:leftChars="200" w:firstLine="0" w:firstLineChars="0"/>
        <w:textAlignment w:val="auto"/>
        <w:rPr>
          <w:color w:val="auto"/>
          <w:highlight w:val="none"/>
        </w:rPr>
      </w:pPr>
      <w:r>
        <w:rPr>
          <w:rFonts w:hint="eastAsia"/>
          <w:color w:val="auto"/>
          <w:highlight w:val="none"/>
        </w:rPr>
        <w:t>（二）评价结论</w:t>
      </w:r>
    </w:p>
    <w:p w14:paraId="4D7B3E05">
      <w:pPr>
        <w:keepNext w:val="0"/>
        <w:pageBreakBefore w:val="0"/>
        <w:widowControl w:val="0"/>
        <w:kinsoku/>
        <w:wordWrap/>
        <w:overflowPunct/>
        <w:topLinePunct w:val="0"/>
        <w:autoSpaceDE/>
        <w:autoSpaceDN/>
        <w:bidi w:val="0"/>
        <w:adjustRightInd/>
        <w:ind w:firstLine="560"/>
        <w:textAlignment w:val="auto"/>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1</w:t>
      </w:r>
      <w:r>
        <w:rPr>
          <w:rFonts w:hint="eastAsia"/>
          <w:color w:val="auto"/>
          <w:highlight w:val="none"/>
          <w:lang w:val="zh-TW" w:eastAsia="zh-TW"/>
        </w:rPr>
        <w:t>个，满分指标</w:t>
      </w:r>
      <w:r>
        <w:rPr>
          <w:rFonts w:hint="eastAsia"/>
          <w:color w:val="auto"/>
          <w:highlight w:val="none"/>
          <w:lang w:val="en-US" w:eastAsia="zh-CN"/>
        </w:rPr>
        <w:t>1</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6851B695">
      <w:pPr>
        <w:pStyle w:val="3"/>
        <w:keepNext w:val="0"/>
        <w:pageBreakBefore w:val="0"/>
        <w:widowControl w:val="0"/>
        <w:numPr>
          <w:ilvl w:val="0"/>
          <w:numId w:val="3"/>
        </w:numPr>
        <w:kinsoku/>
        <w:wordWrap/>
        <w:overflowPunct/>
        <w:topLinePunct w:val="0"/>
        <w:autoSpaceDE/>
        <w:autoSpaceDN/>
        <w:bidi w:val="0"/>
        <w:adjustRightInd/>
        <w:ind w:firstLine="643"/>
        <w:textAlignment w:val="auto"/>
        <w:rPr>
          <w:color w:val="auto"/>
          <w:highlight w:val="none"/>
        </w:rPr>
      </w:pPr>
      <w:r>
        <w:rPr>
          <w:rFonts w:hint="eastAsia"/>
          <w:color w:val="auto"/>
          <w:highlight w:val="none"/>
        </w:rPr>
        <w:t>绩效评价指标分析</w:t>
      </w:r>
    </w:p>
    <w:p w14:paraId="288376A1">
      <w:pPr>
        <w:pStyle w:val="4"/>
        <w:keepNext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rPr>
        <w:t>（一）项目决策情况</w:t>
      </w:r>
    </w:p>
    <w:p w14:paraId="2CBEF54E">
      <w:pPr>
        <w:keepNext w:val="0"/>
        <w:pageBreakBefore w:val="0"/>
        <w:widowControl w:val="0"/>
        <w:kinsoku/>
        <w:wordWrap/>
        <w:overflowPunct/>
        <w:topLinePunct w:val="0"/>
        <w:autoSpaceDE/>
        <w:autoSpaceDN/>
        <w:bidi w:val="0"/>
        <w:adjustRightInd/>
        <w:ind w:firstLine="560"/>
        <w:textAlignment w:val="auto"/>
        <w:rPr>
          <w:rFonts w:ascii="Times New Roman" w:hAnsi="Times New Roman"/>
          <w:color w:val="auto"/>
          <w:highlight w:val="none"/>
        </w:rPr>
      </w:pPr>
      <w:r>
        <w:rPr>
          <w:rFonts w:hint="eastAsia" w:cs="仿宋_GB2312"/>
          <w:color w:val="auto"/>
          <w:highlight w:val="none"/>
        </w:rPr>
        <w:t>项目决策类指标由</w:t>
      </w:r>
      <w:r>
        <w:rPr>
          <w:rFonts w:hint="eastAsia" w:cs="仿宋_GB2312"/>
          <w:color w:val="auto"/>
          <w:highlight w:val="none"/>
          <w:lang w:val="en-US" w:eastAsia="zh-CN"/>
        </w:rPr>
        <w:t>3</w:t>
      </w:r>
      <w:r>
        <w:rPr>
          <w:rFonts w:hint="eastAsia" w:cs="仿宋_GB2312"/>
          <w:color w:val="auto"/>
          <w:highlight w:val="none"/>
        </w:rPr>
        <w:t>个二级指标和</w:t>
      </w:r>
      <w:r>
        <w:rPr>
          <w:rFonts w:hint="eastAsia" w:cs="仿宋_GB2312"/>
          <w:color w:val="auto"/>
          <w:highlight w:val="none"/>
          <w:lang w:val="en-US" w:eastAsia="zh-CN"/>
        </w:rPr>
        <w:t>6</w:t>
      </w:r>
      <w:r>
        <w:rPr>
          <w:rFonts w:hint="eastAsia" w:cs="仿宋_GB2312"/>
          <w:color w:val="auto"/>
          <w:highlight w:val="none"/>
        </w:rPr>
        <w:t>个三级指标构成，权重分</w:t>
      </w:r>
      <w:r>
        <w:rPr>
          <w:rFonts w:hint="eastAsia" w:cs="仿宋_GB2312"/>
          <w:color w:val="auto"/>
          <w:highlight w:val="none"/>
          <w:lang w:val="en-US" w:eastAsia="zh-CN"/>
        </w:rPr>
        <w:t>21</w:t>
      </w:r>
      <w:r>
        <w:rPr>
          <w:rFonts w:hint="eastAsia" w:cs="仿宋_GB2312"/>
          <w:color w:val="auto"/>
          <w:highlight w:val="none"/>
        </w:rPr>
        <w:t>分，实际得分</w:t>
      </w:r>
      <w:r>
        <w:rPr>
          <w:rFonts w:hint="eastAsia" w:cs="仿宋_GB2312"/>
          <w:color w:val="auto"/>
          <w:highlight w:val="none"/>
          <w:lang w:val="en-US" w:eastAsia="zh-CN"/>
        </w:rPr>
        <w:t>21</w:t>
      </w:r>
      <w:r>
        <w:rPr>
          <w:rFonts w:hint="eastAsia" w:cs="仿宋_GB2312"/>
          <w:color w:val="auto"/>
          <w:highlight w:val="none"/>
        </w:rPr>
        <w:t>分。</w:t>
      </w:r>
    </w:p>
    <w:p w14:paraId="717E62D0">
      <w:pPr>
        <w:pStyle w:val="2"/>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1.项目立项情况分析</w:t>
      </w:r>
    </w:p>
    <w:p w14:paraId="2CB4E3D2">
      <w:pPr>
        <w:keepNext w:val="0"/>
        <w:pageBreakBefore w:val="0"/>
        <w:widowControl w:val="0"/>
        <w:kinsoku/>
        <w:wordWrap/>
        <w:overflowPunct/>
        <w:topLinePunct w:val="0"/>
        <w:autoSpaceDE/>
        <w:autoSpaceDN/>
        <w:bidi w:val="0"/>
        <w:adjustRightInd/>
        <w:ind w:firstLine="562"/>
        <w:textAlignment w:val="auto"/>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79BC80E7">
      <w:pPr>
        <w:keepNext w:val="0"/>
        <w:pageBreakBefore w:val="0"/>
        <w:widowControl w:val="0"/>
        <w:kinsoku/>
        <w:wordWrap/>
        <w:overflowPunct/>
        <w:topLinePunct w:val="0"/>
        <w:autoSpaceDE/>
        <w:autoSpaceDN/>
        <w:bidi w:val="0"/>
        <w:adjustRightInd/>
        <w:ind w:firstLine="560"/>
        <w:textAlignment w:val="auto"/>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rPr>
        <w:t>据新政办</w:t>
      </w:r>
      <w:r>
        <w:rPr>
          <w:rFonts w:hint="eastAsia"/>
          <w:color w:val="auto"/>
          <w:highlight w:val="none"/>
          <w:lang w:eastAsia="zh-Hans"/>
        </w:rPr>
        <w:t>发的【2010】168号文件，巴劳社字【2010】161号文件</w:t>
      </w:r>
      <w:r>
        <w:rPr>
          <w:rFonts w:hint="eastAsia"/>
          <w:color w:val="auto"/>
          <w:highlight w:val="none"/>
          <w:lang w:eastAsia="zh-Hans" w:bidi="ar"/>
        </w:rPr>
        <w:t>中</w:t>
      </w:r>
      <w:r>
        <w:rPr>
          <w:rFonts w:hint="eastAsia"/>
          <w:color w:val="auto"/>
          <w:highlight w:val="none"/>
          <w:lang w:bidi="ar"/>
        </w:rPr>
        <w:t>：“政府每年落实生活补助金”</w:t>
      </w:r>
      <w:r>
        <w:rPr>
          <w:rFonts w:hint="eastAsia"/>
          <w:color w:val="auto"/>
          <w:highlight w:val="none"/>
        </w:rPr>
        <w:t>；</w:t>
      </w:r>
      <w:r>
        <w:rPr>
          <w:rFonts w:hint="eastAsia"/>
          <w:color w:val="auto"/>
          <w:highlight w:val="none"/>
          <w:lang w:eastAsia="zh-Hans"/>
        </w:rPr>
        <w:t>符合行业发展规划和政策要求</w:t>
      </w:r>
      <w:r>
        <w:rPr>
          <w:rFonts w:hint="eastAsia"/>
          <w:color w:val="auto"/>
          <w:highlight w:val="none"/>
        </w:rPr>
        <w:t>；</w:t>
      </w:r>
      <w:bookmarkStart w:id="14" w:name="OLE_LINK9"/>
      <w:r>
        <w:rPr>
          <w:rFonts w:hint="eastAsia"/>
          <w:color w:val="auto"/>
          <w:highlight w:val="none"/>
        </w:rPr>
        <w:t>本</w:t>
      </w:r>
      <w:r>
        <w:rPr>
          <w:rFonts w:hint="eastAsia"/>
          <w:color w:val="auto"/>
          <w:highlight w:val="none"/>
          <w:lang w:eastAsia="zh-Hans"/>
        </w:rPr>
        <w:t>项目立项符合《</w:t>
      </w:r>
      <w:r>
        <w:rPr>
          <w:rFonts w:hint="eastAsia"/>
          <w:color w:val="auto"/>
          <w:highlight w:val="none"/>
          <w:lang w:eastAsia="zh-CN"/>
        </w:rPr>
        <w:t>和静县人力资源和社会保障局</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lang w:eastAsia="zh-CN"/>
        </w:rPr>
        <w:t>促进民生就业和社会保障</w:t>
      </w:r>
      <w:r>
        <w:rPr>
          <w:rFonts w:hint="eastAsia"/>
          <w:color w:val="auto"/>
          <w:highlight w:val="none"/>
        </w:rPr>
        <w:t>”</w:t>
      </w:r>
      <w:r>
        <w:rPr>
          <w:rFonts w:hint="eastAsia"/>
          <w:color w:val="auto"/>
          <w:highlight w:val="none"/>
          <w:lang w:eastAsia="zh-Hans"/>
        </w:rPr>
        <w:t>，属于</w:t>
      </w:r>
      <w:r>
        <w:rPr>
          <w:rFonts w:hint="eastAsia"/>
          <w:color w:val="auto"/>
          <w:highlight w:val="none"/>
          <w:lang w:eastAsia="zh-CN"/>
        </w:rPr>
        <w:t>我中心</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eastAsia="zh-CN"/>
        </w:rPr>
        <w:t>社会保险补贴</w:t>
      </w:r>
      <w:r>
        <w:rPr>
          <w:rFonts w:hint="eastAsia"/>
          <w:color w:val="auto"/>
          <w:highlight w:val="none"/>
          <w:lang w:eastAsia="zh-Hans"/>
        </w:rPr>
        <w:t>”经济分类为“</w:t>
      </w:r>
      <w:r>
        <w:rPr>
          <w:rFonts w:hint="eastAsia"/>
          <w:color w:val="auto"/>
          <w:highlight w:val="none"/>
          <w:lang w:eastAsia="zh-CN"/>
        </w:rPr>
        <w:t>生活补助</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CN"/>
        </w:rPr>
        <w:t>我中心</w:t>
      </w:r>
      <w:r>
        <w:rPr>
          <w:rFonts w:hint="eastAsia"/>
          <w:color w:val="auto"/>
          <w:highlight w:val="none"/>
          <w:lang w:eastAsia="zh-Hans"/>
        </w:rPr>
        <w:t>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26E133A4">
      <w:pPr>
        <w:keepNext w:val="0"/>
        <w:pageBreakBefore w:val="0"/>
        <w:widowControl w:val="0"/>
        <w:kinsoku/>
        <w:wordWrap/>
        <w:overflowPunct/>
        <w:topLinePunct w:val="0"/>
        <w:autoSpaceDE/>
        <w:autoSpaceDN/>
        <w:bidi w:val="0"/>
        <w:adjustRightInd/>
        <w:ind w:firstLine="560"/>
        <w:textAlignment w:val="auto"/>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bookmarkEnd w:id="14"/>
    <w:p w14:paraId="18BA8B3F">
      <w:pPr>
        <w:keepNext w:val="0"/>
        <w:pageBreakBefore w:val="0"/>
        <w:widowControl w:val="0"/>
        <w:kinsoku/>
        <w:wordWrap/>
        <w:overflowPunct/>
        <w:topLinePunct w:val="0"/>
        <w:autoSpaceDE/>
        <w:autoSpaceDN/>
        <w:bidi w:val="0"/>
        <w:adjustRightInd/>
        <w:ind w:firstLine="560"/>
        <w:textAlignment w:val="auto"/>
        <w:rPr>
          <w:b/>
          <w:bCs/>
          <w:color w:val="auto"/>
          <w:highlight w:val="none"/>
        </w:rPr>
      </w:pPr>
    </w:p>
    <w:p w14:paraId="32FC9705">
      <w:pPr>
        <w:keepNext w:val="0"/>
        <w:pageBreakBefore w:val="0"/>
        <w:widowControl w:val="0"/>
        <w:kinsoku/>
        <w:wordWrap/>
        <w:overflowPunct/>
        <w:topLinePunct w:val="0"/>
        <w:autoSpaceDE/>
        <w:autoSpaceDN/>
        <w:bidi w:val="0"/>
        <w:adjustRightInd/>
        <w:ind w:firstLine="562"/>
        <w:textAlignment w:val="auto"/>
        <w:rPr>
          <w:b/>
          <w:bCs/>
          <w:color w:val="auto"/>
          <w:highlight w:val="none"/>
        </w:rPr>
      </w:pPr>
      <w:r>
        <w:rPr>
          <w:rFonts w:hint="eastAsia"/>
          <w:b/>
          <w:bCs/>
          <w:color w:val="auto"/>
          <w:highlight w:val="none"/>
        </w:rPr>
        <w:t>（2）立项程序规范性</w:t>
      </w:r>
    </w:p>
    <w:p w14:paraId="0E734AB4">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本项目2024年州直关闭破产企业1995年底前退休人员生活补贴资金，项目立项过程中产生的文件均符合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一</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30.89</w:t>
      </w:r>
      <w:r>
        <w:rPr>
          <w:rFonts w:hint="eastAsia"/>
          <w:color w:val="auto"/>
          <w:highlight w:val="none"/>
          <w:lang w:eastAsia="zh-Hans"/>
        </w:rPr>
        <w:t>万元，</w:t>
      </w:r>
      <w:r>
        <w:rPr>
          <w:rFonts w:hint="eastAsia"/>
          <w:color w:val="auto"/>
          <w:highlight w:val="none"/>
          <w:lang w:eastAsia="zh-CN"/>
        </w:rPr>
        <w:t>该项目按照规定程序申请设立；事前已经过必要的可行性研究、专家论证、集体决策</w:t>
      </w:r>
      <w:r>
        <w:rPr>
          <w:rFonts w:hint="eastAsia"/>
          <w:color w:val="auto"/>
          <w:highlight w:val="none"/>
        </w:rPr>
        <w:t>。</w:t>
      </w:r>
    </w:p>
    <w:p w14:paraId="6C027AAA">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23349D99">
      <w:pPr>
        <w:pStyle w:val="2"/>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2.绩效目标情况分析</w:t>
      </w:r>
    </w:p>
    <w:p w14:paraId="5A3B86D6">
      <w:pPr>
        <w:keepNext w:val="0"/>
        <w:pageBreakBefore w:val="0"/>
        <w:widowControl w:val="0"/>
        <w:kinsoku/>
        <w:wordWrap/>
        <w:overflowPunct/>
        <w:topLinePunct w:val="0"/>
        <w:autoSpaceDE/>
        <w:autoSpaceDN/>
        <w:bidi w:val="0"/>
        <w:adjustRightInd/>
        <w:ind w:firstLine="562"/>
        <w:textAlignment w:val="auto"/>
        <w:rPr>
          <w:b/>
          <w:bCs/>
          <w:color w:val="auto"/>
          <w:highlight w:val="none"/>
        </w:rPr>
      </w:pPr>
      <w:r>
        <w:rPr>
          <w:rFonts w:hint="eastAsia"/>
          <w:b/>
          <w:bCs/>
          <w:color w:val="auto"/>
          <w:highlight w:val="none"/>
        </w:rPr>
        <w:t>（1）绩效目标合理性</w:t>
      </w:r>
    </w:p>
    <w:p w14:paraId="65370C7B">
      <w:pPr>
        <w:keepNext w:val="0"/>
        <w:pageBreakBefore w:val="0"/>
        <w:widowControl w:val="0"/>
        <w:kinsoku/>
        <w:wordWrap/>
        <w:overflowPunct/>
        <w:topLinePunct w:val="0"/>
        <w:autoSpaceDE/>
        <w:autoSpaceDN/>
        <w:bidi w:val="0"/>
        <w:adjustRightInd/>
        <w:ind w:firstLine="560"/>
        <w:textAlignment w:val="auto"/>
        <w:rPr>
          <w:color w:val="auto"/>
          <w:highlight w:val="none"/>
          <w:lang w:eastAsia="zh-Hans"/>
        </w:rPr>
      </w:pPr>
      <w:r>
        <w:rPr>
          <w:rFonts w:hint="eastAsia"/>
          <w:color w:val="auto"/>
          <w:highlight w:val="none"/>
        </w:rPr>
        <w:t>本项目已设置年度绩效目标，具体内容为“国家安排95年底前困难企业退休人员发放生活补助。为了提高生活水平，政府每年落实生活补助金，我们中心确保每季度及时发放，及时核定人数，资金到位按时发放</w:t>
      </w:r>
      <w:r>
        <w:rPr>
          <w:rFonts w:hint="eastAsia"/>
          <w:color w:val="auto"/>
          <w:highlight w:val="none"/>
          <w:lang w:eastAsia="zh-CN"/>
        </w:rPr>
        <w:t>，</w:t>
      </w:r>
      <w:r>
        <w:rPr>
          <w:rFonts w:hint="eastAsia"/>
          <w:color w:val="auto"/>
          <w:highlight w:val="none"/>
        </w:rPr>
        <w:t>生活补助发放可以提高生活水平，减轻生活负担。”；本项目实际工作为：目标1:国家安排95年底前困难企业退休人员发放生活补助。为了提高生活水平，政府每年落实生活补助金，我们中心确保每季度及时发放，及时核定人数，资金到位按时发放。生活补助发放可以提高生活水平，减轻生活负担。。绩效目标与实际工作内容一致，两者具有相关性;本项目</w:t>
      </w:r>
      <w:r>
        <w:rPr>
          <w:rFonts w:hint="eastAsia"/>
          <w:color w:val="auto"/>
          <w:highlight w:val="none"/>
          <w:lang w:eastAsia="zh-Hans"/>
        </w:rPr>
        <w:t>按照绩效目标完成数量指标、质量指标、时效指标、成本指标，有效保障了</w:t>
      </w:r>
      <w:r>
        <w:rPr>
          <w:rFonts w:hint="eastAsia"/>
          <w:color w:val="auto"/>
          <w:highlight w:val="none"/>
        </w:rPr>
        <w:t>提高享政策受人员生活水平</w:t>
      </w:r>
      <w:r>
        <w:rPr>
          <w:rFonts w:hint="eastAsia"/>
          <w:color w:val="auto"/>
          <w:highlight w:val="none"/>
          <w:lang w:eastAsia="zh-Hans"/>
        </w:rPr>
        <w:t>，政策知晓率</w:t>
      </w:r>
      <w:r>
        <w:rPr>
          <w:rFonts w:hint="eastAsia"/>
          <w:color w:val="auto"/>
          <w:highlight w:val="none"/>
          <w:lang w:val="en-US" w:eastAsia="zh-CN"/>
        </w:rPr>
        <w:t>100%，</w:t>
      </w:r>
      <w:r>
        <w:rPr>
          <w:rFonts w:hint="eastAsia"/>
          <w:color w:val="auto"/>
          <w:highlight w:val="none"/>
          <w:lang w:eastAsia="zh-Hans"/>
        </w:rPr>
        <w:t>年度绩效目标完成，预期产出效益和效果符合正常的业绩水平。</w:t>
      </w:r>
      <w:r>
        <w:rPr>
          <w:color w:val="auto"/>
          <w:highlight w:val="none"/>
        </w:rPr>
        <w:t>该项目批复</w:t>
      </w:r>
      <w:r>
        <w:rPr>
          <w:rFonts w:hint="eastAsia"/>
          <w:color w:val="auto"/>
          <w:highlight w:val="none"/>
          <w:lang w:eastAsia="zh-CN"/>
        </w:rPr>
        <w:t>的</w:t>
      </w:r>
      <w:r>
        <w:rPr>
          <w:color w:val="auto"/>
          <w:highlight w:val="none"/>
        </w:rPr>
        <w:t>预算金额为</w:t>
      </w:r>
      <w:r>
        <w:rPr>
          <w:rFonts w:hint="eastAsia"/>
          <w:color w:val="auto"/>
          <w:highlight w:val="none"/>
          <w:lang w:val="en-US" w:eastAsia="zh-CN"/>
        </w:rPr>
        <w:t>30.89</w:t>
      </w:r>
      <w:r>
        <w:rPr>
          <w:color w:val="auto"/>
          <w:highlight w:val="none"/>
        </w:rPr>
        <w:t>万元</w:t>
      </w:r>
      <w:r>
        <w:rPr>
          <w:color w:val="auto"/>
          <w:highlight w:val="none"/>
        </w:rPr>
        <w:t>，《财政项目支出绩效目标表</w:t>
      </w:r>
      <w:r>
        <w:rPr>
          <w:rFonts w:hint="eastAsia"/>
          <w:color w:val="auto"/>
          <w:highlight w:val="none"/>
        </w:rPr>
        <w:t>》</w:t>
      </w:r>
      <w:r>
        <w:rPr>
          <w:color w:val="auto"/>
          <w:highlight w:val="none"/>
        </w:rPr>
        <w:t>中</w:t>
      </w:r>
      <w:r>
        <w:rPr>
          <w:rFonts w:hint="eastAsia"/>
          <w:color w:val="auto"/>
          <w:highlight w:val="none"/>
          <w:lang w:val="en-US" w:eastAsia="zh-CN"/>
        </w:rPr>
        <w:t>全年</w:t>
      </w:r>
      <w:r>
        <w:rPr>
          <w:color w:val="auto"/>
          <w:highlight w:val="none"/>
        </w:rPr>
        <w:t>预算金额为</w:t>
      </w:r>
      <w:r>
        <w:rPr>
          <w:rFonts w:hint="eastAsia"/>
          <w:color w:val="auto"/>
          <w:highlight w:val="none"/>
          <w:lang w:val="en-US" w:eastAsia="zh-CN"/>
        </w:rPr>
        <w:t>30.89</w:t>
      </w:r>
      <w:r>
        <w:rPr>
          <w:color w:val="auto"/>
          <w:highlight w:val="none"/>
        </w:rPr>
        <w:t>万元</w:t>
      </w:r>
      <w:r>
        <w:rPr>
          <w:color w:val="auto"/>
          <w:highlight w:val="none"/>
        </w:rPr>
        <w:t>，</w:t>
      </w:r>
      <w:r>
        <w:rPr>
          <w:rFonts w:hint="eastAsia"/>
          <w:color w:val="auto"/>
          <w:highlight w:val="none"/>
        </w:rPr>
        <w:t>预算确定的</w:t>
      </w:r>
      <w:r>
        <w:rPr>
          <w:rFonts w:hint="eastAsia"/>
          <w:color w:val="auto"/>
          <w:highlight w:val="none"/>
        </w:rPr>
        <w:t>项目资金与预算确定的</w:t>
      </w:r>
      <w:r>
        <w:rPr>
          <w:rFonts w:hint="eastAsia"/>
          <w:color w:val="auto"/>
          <w:highlight w:val="none"/>
          <w:lang w:val="en-US" w:eastAsia="zh-CN"/>
        </w:rPr>
        <w:t>项目投资额相匹配</w:t>
      </w:r>
      <w:r>
        <w:rPr>
          <w:rFonts w:hint="eastAsia"/>
          <w:color w:val="auto"/>
          <w:highlight w:val="none"/>
          <w:lang w:val="en-US" w:eastAsia="zh-CN"/>
        </w:rPr>
        <w:t>。</w:t>
      </w:r>
    </w:p>
    <w:p w14:paraId="3A29C9BE">
      <w:pPr>
        <w:keepNext w:val="0"/>
        <w:pageBreakBefore w:val="0"/>
        <w:widowControl w:val="0"/>
        <w:kinsoku/>
        <w:wordWrap/>
        <w:overflowPunct/>
        <w:topLinePunct w:val="0"/>
        <w:autoSpaceDE/>
        <w:autoSpaceDN/>
        <w:bidi w:val="0"/>
        <w:adjustRightInd/>
        <w:ind w:firstLine="560"/>
        <w:textAlignment w:val="auto"/>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26D886ED">
      <w:pPr>
        <w:keepNext w:val="0"/>
        <w:pageBreakBefore w:val="0"/>
        <w:widowControl w:val="0"/>
        <w:kinsoku/>
        <w:wordWrap/>
        <w:overflowPunct/>
        <w:topLinePunct w:val="0"/>
        <w:autoSpaceDE/>
        <w:autoSpaceDN/>
        <w:bidi w:val="0"/>
        <w:adjustRightInd/>
        <w:ind w:firstLine="562"/>
        <w:textAlignment w:val="auto"/>
        <w:rPr>
          <w:b/>
          <w:bCs/>
          <w:color w:val="auto"/>
          <w:highlight w:val="none"/>
        </w:rPr>
      </w:pPr>
      <w:r>
        <w:rPr>
          <w:rFonts w:hint="eastAsia"/>
          <w:b/>
          <w:bCs/>
          <w:color w:val="auto"/>
          <w:highlight w:val="none"/>
        </w:rPr>
        <w:t>（2）绩效指标明确性</w:t>
      </w:r>
    </w:p>
    <w:p w14:paraId="0B2779B3">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eastAsia="zh-Hans"/>
        </w:rPr>
        <w:t>经检查</w:t>
      </w:r>
      <w:r>
        <w:rPr>
          <w:rFonts w:hint="eastAsia"/>
          <w:color w:val="auto"/>
          <w:highlight w:val="none"/>
          <w:lang w:eastAsia="zh-CN"/>
        </w:rPr>
        <w:t>我中心</w:t>
      </w:r>
      <w:r>
        <w:rPr>
          <w:rFonts w:hint="eastAsia"/>
          <w:color w:val="auto"/>
          <w:highlight w:val="none"/>
        </w:rPr>
        <w:t>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8</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7</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87.5</w:t>
      </w:r>
      <w:r>
        <w:rPr>
          <w:rFonts w:hint="eastAsia"/>
          <w:color w:val="auto"/>
          <w:highlight w:val="none"/>
          <w:lang w:eastAsia="zh-Hans"/>
        </w:rPr>
        <w:t>%，量化率达70%以上</w:t>
      </w:r>
      <w:r>
        <w:rPr>
          <w:rFonts w:hint="eastAsia"/>
          <w:color w:val="auto"/>
          <w:highlight w:val="none"/>
        </w:rPr>
        <w:t>。</w:t>
      </w:r>
      <w:r>
        <w:rPr>
          <w:rFonts w:hint="eastAsia"/>
          <w:color w:val="auto"/>
          <w:highlight w:val="none"/>
          <w:lang w:val="en-US" w:eastAsia="zh-CN"/>
        </w:rPr>
        <w:t>根据</w:t>
      </w:r>
      <w:r>
        <w:rPr>
          <w:rFonts w:hint="eastAsia"/>
          <w:color w:val="auto"/>
          <w:highlight w:val="none"/>
          <w:lang w:eastAsia="zh-CN"/>
        </w:rPr>
        <w:t>《项目支出绩效目标表》，</w:t>
      </w:r>
      <w:r>
        <w:rPr>
          <w:rFonts w:hint="eastAsia"/>
          <w:color w:val="auto"/>
          <w:highlight w:val="none"/>
          <w:lang w:val="en-US" w:eastAsia="zh-CN"/>
        </w:rPr>
        <w:t>我单位各项三级指标</w:t>
      </w:r>
      <w:r>
        <w:rPr>
          <w:rFonts w:hint="eastAsia"/>
          <w:color w:val="auto"/>
          <w:highlight w:val="none"/>
          <w:lang w:eastAsia="zh-CN"/>
        </w:rPr>
        <w:t>通过清晰、可衡量的指标值予以体现；</w:t>
      </w:r>
      <w:r>
        <w:rPr>
          <w:rFonts w:hint="eastAsia"/>
          <w:color w:val="auto"/>
          <w:highlight w:val="none"/>
          <w:lang w:eastAsia="zh-CN"/>
        </w:rPr>
        <w:t>三级指标的年度指标值与年度绩效目标中任务数一致。</w:t>
      </w:r>
    </w:p>
    <w:p w14:paraId="70822E0B">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72C226CF">
      <w:pPr>
        <w:pStyle w:val="2"/>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3.资金投入情况分析</w:t>
      </w:r>
    </w:p>
    <w:p w14:paraId="420265A4">
      <w:pPr>
        <w:keepNext w:val="0"/>
        <w:pageBreakBefore w:val="0"/>
        <w:widowControl w:val="0"/>
        <w:kinsoku/>
        <w:wordWrap/>
        <w:overflowPunct/>
        <w:topLinePunct w:val="0"/>
        <w:autoSpaceDE/>
        <w:autoSpaceDN/>
        <w:bidi w:val="0"/>
        <w:adjustRightInd/>
        <w:ind w:firstLine="562"/>
        <w:textAlignment w:val="auto"/>
        <w:rPr>
          <w:b/>
          <w:bCs/>
          <w:color w:val="auto"/>
          <w:highlight w:val="none"/>
          <w:lang w:eastAsia="zh-Hans" w:bidi="ar"/>
        </w:rPr>
      </w:pPr>
      <w:r>
        <w:rPr>
          <w:rFonts w:hint="eastAsia"/>
          <w:b/>
          <w:bCs/>
          <w:color w:val="auto"/>
          <w:highlight w:val="none"/>
          <w:lang w:eastAsia="zh-Hans" w:bidi="ar"/>
        </w:rPr>
        <w:t>（1）预算编制科学性</w:t>
      </w:r>
    </w:p>
    <w:p w14:paraId="0D8A5BB4">
      <w:pPr>
        <w:keepNext w:val="0"/>
        <w:pageBreakBefore w:val="0"/>
        <w:widowControl w:val="0"/>
        <w:kinsoku/>
        <w:wordWrap/>
        <w:overflowPunct/>
        <w:topLinePunct w:val="0"/>
        <w:autoSpaceDE/>
        <w:autoSpaceDN/>
        <w:bidi w:val="0"/>
        <w:adjustRightInd/>
        <w:ind w:firstLine="560"/>
        <w:textAlignment w:val="auto"/>
        <w:rPr>
          <w:color w:val="auto"/>
          <w:highlight w:val="none"/>
          <w:lang w:bidi="ar"/>
        </w:rPr>
      </w:pPr>
      <w:r>
        <w:rPr>
          <w:rFonts w:hint="eastAsia"/>
          <w:color w:val="auto"/>
          <w:highlight w:val="none"/>
          <w:lang w:bidi="ar"/>
        </w:rPr>
        <w:t>本</w:t>
      </w:r>
      <w:r>
        <w:rPr>
          <w:rFonts w:hint="eastAsia"/>
          <w:color w:val="auto"/>
          <w:highlight w:val="none"/>
          <w:lang w:eastAsia="zh-Hans" w:bidi="ar"/>
        </w:rPr>
        <w:t>项目预算编制通过市场询价，由新疆顺安源安防科技有限公司、新疆皇冠工业消防设备工程有限责任公司、新疆中煌亿佳消防科技有限公司三家单位报价得出，即预算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7EE94E1A">
      <w:pPr>
        <w:keepNext w:val="0"/>
        <w:pageBreakBefore w:val="0"/>
        <w:widowControl w:val="0"/>
        <w:kinsoku/>
        <w:wordWrap/>
        <w:overflowPunct/>
        <w:topLinePunct w:val="0"/>
        <w:autoSpaceDE/>
        <w:autoSpaceDN/>
        <w:bidi w:val="0"/>
        <w:adjustRightInd/>
        <w:ind w:firstLine="560"/>
        <w:textAlignment w:val="auto"/>
        <w:rPr>
          <w:color w:val="auto"/>
          <w:highlight w:val="none"/>
          <w:lang w:bidi="ar"/>
        </w:rPr>
      </w:pPr>
      <w:r>
        <w:rPr>
          <w:rFonts w:hint="eastAsia"/>
          <w:color w:val="auto"/>
          <w:highlight w:val="none"/>
          <w:lang w:eastAsia="zh-Hans" w:bidi="ar"/>
        </w:rPr>
        <w:t>预算申请内容为</w:t>
      </w:r>
      <w:r>
        <w:rPr>
          <w:rFonts w:hint="eastAsia"/>
          <w:color w:val="auto"/>
          <w:highlight w:val="none"/>
          <w:lang w:bidi="ar"/>
        </w:rPr>
        <w:t>2024年州直关闭破产企业1995年底前退休人员生活补贴资金</w:t>
      </w:r>
      <w:r>
        <w:rPr>
          <w:rFonts w:hint="eastAsia"/>
          <w:color w:val="auto"/>
          <w:highlight w:val="none"/>
          <w:lang w:eastAsia="zh-Hans" w:bidi="ar"/>
        </w:rPr>
        <w:t>，项目实际内容为</w:t>
      </w:r>
      <w:r>
        <w:rPr>
          <w:rFonts w:hint="eastAsia"/>
          <w:color w:val="auto"/>
          <w:highlight w:val="none"/>
          <w:lang w:bidi="ar"/>
        </w:rPr>
        <w:t>2024年州直关闭破产企业1995年底前退休人员生活补贴资金</w:t>
      </w:r>
      <w:r>
        <w:rPr>
          <w:rFonts w:hint="eastAsia"/>
          <w:color w:val="auto"/>
          <w:highlight w:val="none"/>
          <w:lang w:eastAsia="zh-Hans" w:bidi="ar"/>
        </w:rPr>
        <w:t>，预算申请与《</w:t>
      </w:r>
      <w:r>
        <w:rPr>
          <w:rFonts w:hint="eastAsia"/>
          <w:color w:val="auto"/>
          <w:highlight w:val="none"/>
          <w:lang w:bidi="ar"/>
        </w:rPr>
        <w:t>2024年州直关闭破产企业1995年底前退休人员生活补贴资金项目实施方案</w:t>
      </w:r>
      <w:r>
        <w:rPr>
          <w:rFonts w:hint="eastAsia"/>
          <w:color w:val="auto"/>
          <w:highlight w:val="none"/>
          <w:lang w:eastAsia="zh-Hans" w:bidi="ar"/>
        </w:rPr>
        <w:t>》中涉及的项目内容匹配</w:t>
      </w:r>
      <w:r>
        <w:rPr>
          <w:rFonts w:hint="eastAsia"/>
          <w:color w:val="auto"/>
          <w:highlight w:val="none"/>
          <w:lang w:bidi="ar"/>
        </w:rPr>
        <w:t>；</w:t>
      </w:r>
    </w:p>
    <w:p w14:paraId="37212800">
      <w:pPr>
        <w:keepNext w:val="0"/>
        <w:pageBreakBefore w:val="0"/>
        <w:widowControl w:val="0"/>
        <w:kinsoku/>
        <w:wordWrap/>
        <w:overflowPunct/>
        <w:topLinePunct w:val="0"/>
        <w:autoSpaceDE/>
        <w:autoSpaceDN/>
        <w:bidi w:val="0"/>
        <w:adjustRightInd/>
        <w:ind w:firstLine="560"/>
        <w:textAlignment w:val="auto"/>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30.89</w:t>
      </w:r>
      <w:r>
        <w:rPr>
          <w:rFonts w:hint="eastAsia"/>
          <w:color w:val="auto"/>
          <w:highlight w:val="none"/>
        </w:rPr>
        <w:t>万元，</w:t>
      </w:r>
      <w:r>
        <w:rPr>
          <w:rFonts w:hint="eastAsia"/>
          <w:color w:val="auto"/>
          <w:highlight w:val="none"/>
          <w:lang w:eastAsia="zh-CN"/>
        </w:rPr>
        <w:t>我中心</w:t>
      </w:r>
      <w:r>
        <w:rPr>
          <w:rFonts w:hint="eastAsia"/>
          <w:color w:val="auto"/>
          <w:highlight w:val="none"/>
        </w:rPr>
        <w:t>在预算申请中严格按照单位标准和数量进行核算，其中：破产企业退休职工214人，每月每人120元标准发放补贴。本项目预算额度测算依据充分，严格按照标准编制，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025390FB">
      <w:pPr>
        <w:keepNext w:val="0"/>
        <w:pageBreakBefore w:val="0"/>
        <w:widowControl w:val="0"/>
        <w:kinsoku/>
        <w:wordWrap/>
        <w:overflowPunct/>
        <w:topLinePunct w:val="0"/>
        <w:autoSpaceDE/>
        <w:autoSpaceDN/>
        <w:bidi w:val="0"/>
        <w:adjustRightInd/>
        <w:ind w:firstLine="560"/>
        <w:textAlignment w:val="auto"/>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7DC2926A">
      <w:pPr>
        <w:keepNext w:val="0"/>
        <w:pageBreakBefore w:val="0"/>
        <w:widowControl w:val="0"/>
        <w:kinsoku/>
        <w:wordWrap/>
        <w:overflowPunct/>
        <w:topLinePunct w:val="0"/>
        <w:autoSpaceDE/>
        <w:autoSpaceDN/>
        <w:bidi w:val="0"/>
        <w:adjustRightInd/>
        <w:ind w:firstLine="562"/>
        <w:textAlignment w:val="auto"/>
        <w:rPr>
          <w:b/>
          <w:bCs/>
          <w:color w:val="auto"/>
          <w:highlight w:val="none"/>
        </w:rPr>
      </w:pPr>
      <w:r>
        <w:rPr>
          <w:rFonts w:hint="eastAsia"/>
          <w:b/>
          <w:bCs/>
          <w:color w:val="auto"/>
          <w:highlight w:val="none"/>
        </w:rPr>
        <w:t>（2）资金分配合理性</w:t>
      </w:r>
    </w:p>
    <w:p w14:paraId="45B8AD2D">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申请2024年州直关闭破产企业1995年底前退休人员生活补贴资金项目资金的请示</w:t>
      </w:r>
      <w:r>
        <w:rPr>
          <w:rFonts w:hint="eastAsia"/>
          <w:color w:val="auto"/>
          <w:highlight w:val="none"/>
          <w:lang w:eastAsia="zh-Hans" w:bidi="ar"/>
        </w:rPr>
        <w:t>》</w:t>
      </w:r>
      <w:r>
        <w:rPr>
          <w:rFonts w:hint="eastAsia"/>
          <w:color w:val="auto"/>
          <w:highlight w:val="none"/>
          <w:lang w:bidi="ar"/>
        </w:rPr>
        <w:t>和《2024年州直关闭破产企业1995年底前退休人员生活补贴资金项目实施方案》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。根据《2024年州直关闭破产企业1995年底前退休人员生活补贴资金资金下达文件》文件显示，本项目实际到位资金</w:t>
      </w:r>
      <w:r>
        <w:rPr>
          <w:rFonts w:hint="eastAsia"/>
          <w:color w:val="auto"/>
          <w:highlight w:val="none"/>
          <w:lang w:val="en-US" w:eastAsia="zh-CN" w:bidi="ar"/>
        </w:rPr>
        <w:t>30.89</w:t>
      </w:r>
      <w:r>
        <w:rPr>
          <w:rFonts w:hint="eastAsia"/>
          <w:color w:val="auto"/>
          <w:highlight w:val="none"/>
          <w:lang w:bidi="ar"/>
        </w:rPr>
        <w:t>万元，实际分配资金与</w:t>
      </w:r>
      <w:r>
        <w:rPr>
          <w:rFonts w:hint="eastAsia"/>
          <w:color w:val="auto"/>
          <w:highlight w:val="none"/>
          <w:lang w:eastAsia="zh-CN" w:bidi="ar"/>
        </w:rPr>
        <w:t>我中心</w:t>
      </w:r>
      <w:r>
        <w:rPr>
          <w:rFonts w:hint="eastAsia"/>
          <w:color w:val="auto"/>
          <w:highlight w:val="none"/>
          <w:lang w:bidi="ar"/>
        </w:rPr>
        <w:t>提交申请的资金额度一致，</w:t>
      </w:r>
      <w:r>
        <w:rPr>
          <w:rFonts w:hint="eastAsia"/>
          <w:color w:val="auto"/>
          <w:highlight w:val="none"/>
          <w:lang w:eastAsia="zh-Hans" w:bidi="ar"/>
        </w:rPr>
        <w:t>资金分配额度合理，与</w:t>
      </w:r>
      <w:r>
        <w:rPr>
          <w:rFonts w:hint="eastAsia"/>
          <w:color w:val="auto"/>
          <w:highlight w:val="none"/>
          <w:lang w:eastAsia="zh-CN" w:bidi="ar"/>
        </w:rPr>
        <w:t>我中心</w:t>
      </w:r>
      <w:r>
        <w:rPr>
          <w:rFonts w:hint="eastAsia"/>
          <w:color w:val="auto"/>
          <w:highlight w:val="none"/>
          <w:lang w:eastAsia="zh-Hans" w:bidi="ar"/>
        </w:rPr>
        <w:t>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0B211199">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3EEA34AF">
      <w:pPr>
        <w:pStyle w:val="4"/>
        <w:keepNext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rPr>
        <w:t>（二）项目过程情况</w:t>
      </w:r>
    </w:p>
    <w:p w14:paraId="54103FCD">
      <w:pPr>
        <w:keepNext w:val="0"/>
        <w:pageBreakBefore w:val="0"/>
        <w:widowControl w:val="0"/>
        <w:kinsoku/>
        <w:wordWrap/>
        <w:overflowPunct/>
        <w:topLinePunct w:val="0"/>
        <w:autoSpaceDE/>
        <w:autoSpaceDN/>
        <w:bidi w:val="0"/>
        <w:adjustRightInd/>
        <w:ind w:firstLine="560"/>
        <w:textAlignment w:val="auto"/>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647DB31D">
      <w:pPr>
        <w:pStyle w:val="2"/>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1.资金管理情况分析</w:t>
      </w:r>
    </w:p>
    <w:p w14:paraId="14E79F32">
      <w:pPr>
        <w:keepNext w:val="0"/>
        <w:pageBreakBefore w:val="0"/>
        <w:widowControl w:val="0"/>
        <w:kinsoku/>
        <w:wordWrap/>
        <w:overflowPunct/>
        <w:topLinePunct w:val="0"/>
        <w:autoSpaceDE/>
        <w:autoSpaceDN/>
        <w:bidi w:val="0"/>
        <w:adjustRightInd/>
        <w:ind w:firstLine="562"/>
        <w:textAlignment w:val="auto"/>
        <w:rPr>
          <w:b/>
          <w:bCs/>
          <w:color w:val="auto"/>
          <w:highlight w:val="none"/>
        </w:rPr>
      </w:pPr>
      <w:r>
        <w:rPr>
          <w:rFonts w:hint="eastAsia"/>
          <w:b/>
          <w:bCs/>
          <w:color w:val="auto"/>
          <w:highlight w:val="none"/>
        </w:rPr>
        <w:t>（1）资金到位率</w:t>
      </w:r>
    </w:p>
    <w:p w14:paraId="276BA787">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本项目预算资金为</w:t>
      </w:r>
      <w:r>
        <w:rPr>
          <w:rFonts w:hint="eastAsia"/>
          <w:color w:val="auto"/>
          <w:highlight w:val="none"/>
          <w:lang w:val="en-US" w:eastAsia="zh-CN"/>
        </w:rPr>
        <w:t>30.89</w:t>
      </w:r>
      <w:r>
        <w:rPr>
          <w:rFonts w:hint="eastAsia"/>
          <w:color w:val="auto"/>
          <w:highlight w:val="none"/>
        </w:rPr>
        <w:t>万元，其中：本级财政安排资金</w:t>
      </w:r>
      <w:r>
        <w:rPr>
          <w:rFonts w:hint="eastAsia"/>
          <w:color w:val="auto"/>
          <w:highlight w:val="none"/>
          <w:lang w:val="en-US" w:eastAsia="zh-CN"/>
        </w:rPr>
        <w:t>30.89</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30.89</w:t>
      </w:r>
      <w:r>
        <w:rPr>
          <w:rFonts w:hint="eastAsia"/>
          <w:color w:val="auto"/>
          <w:highlight w:val="none"/>
        </w:rPr>
        <w:t>万元，资金到位率=（实际到位资金/预算资金）×100%=（</w:t>
      </w:r>
      <w:r>
        <w:rPr>
          <w:rFonts w:hint="eastAsia"/>
          <w:color w:val="auto"/>
          <w:highlight w:val="none"/>
          <w:lang w:val="en-US" w:eastAsia="zh-CN"/>
        </w:rPr>
        <w:t>30.89</w:t>
      </w:r>
      <w:r>
        <w:rPr>
          <w:rFonts w:hint="eastAsia"/>
          <w:color w:val="auto"/>
          <w:highlight w:val="none"/>
        </w:rPr>
        <w:t>/</w:t>
      </w:r>
      <w:r>
        <w:rPr>
          <w:rFonts w:hint="eastAsia"/>
          <w:color w:val="auto"/>
          <w:highlight w:val="none"/>
          <w:lang w:val="en-US" w:eastAsia="zh-CN"/>
        </w:rPr>
        <w:t>30.89</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0F7807A4">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1C96DCC7">
      <w:pPr>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b/>
          <w:bCs/>
          <w:color w:val="auto"/>
          <w:highlight w:val="none"/>
        </w:rPr>
        <w:t>（2）预算执行率</w:t>
      </w:r>
    </w:p>
    <w:p w14:paraId="34E5C760">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本项目实际支出资金</w:t>
      </w:r>
      <w:r>
        <w:rPr>
          <w:rFonts w:hint="eastAsia"/>
          <w:color w:val="auto"/>
          <w:highlight w:val="none"/>
          <w:lang w:val="en-US" w:eastAsia="zh-CN"/>
        </w:rPr>
        <w:t>30.89</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30.89</w:t>
      </w:r>
      <w:r>
        <w:rPr>
          <w:rFonts w:hint="eastAsia"/>
          <w:color w:val="auto"/>
          <w:highlight w:val="none"/>
        </w:rPr>
        <w:t>/</w:t>
      </w:r>
      <w:r>
        <w:rPr>
          <w:rFonts w:hint="eastAsia"/>
          <w:color w:val="auto"/>
          <w:highlight w:val="none"/>
          <w:lang w:val="en-US" w:eastAsia="zh-CN"/>
        </w:rPr>
        <w:t>30.89</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14:paraId="670023CD">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43BBF17C">
      <w:pPr>
        <w:keepNext w:val="0"/>
        <w:pageBreakBefore w:val="0"/>
        <w:widowControl w:val="0"/>
        <w:kinsoku/>
        <w:wordWrap/>
        <w:overflowPunct/>
        <w:topLinePunct w:val="0"/>
        <w:autoSpaceDE/>
        <w:autoSpaceDN/>
        <w:bidi w:val="0"/>
        <w:adjustRightInd/>
        <w:ind w:firstLine="562"/>
        <w:textAlignment w:val="auto"/>
        <w:rPr>
          <w:b/>
          <w:bCs/>
          <w:color w:val="auto"/>
          <w:highlight w:val="none"/>
        </w:rPr>
      </w:pPr>
      <w:r>
        <w:rPr>
          <w:rFonts w:hint="eastAsia"/>
          <w:b/>
          <w:bCs/>
          <w:color w:val="auto"/>
          <w:highlight w:val="none"/>
        </w:rPr>
        <w:t>（3）资金使用合规性</w:t>
      </w:r>
    </w:p>
    <w:p w14:paraId="3167C54B">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bookmarkStart w:id="15" w:name="OLE_LINK4"/>
      <w:r>
        <w:rPr>
          <w:rFonts w:hint="eastAsia"/>
          <w:color w:val="auto"/>
          <w:highlight w:val="none"/>
          <w:lang w:eastAsia="zh-CN"/>
        </w:rPr>
        <w:t>和静县社会保险中心</w:t>
      </w:r>
      <w:bookmarkEnd w:id="15"/>
      <w:r>
        <w:rPr>
          <w:color w:val="auto"/>
          <w:highlight w:val="none"/>
        </w:rPr>
        <w:t>资金管理办法》</w:t>
      </w:r>
      <w:r>
        <w:rPr>
          <w:rFonts w:hint="eastAsia"/>
          <w:color w:val="auto"/>
          <w:highlight w:val="none"/>
          <w:lang w:eastAsia="zh-CN"/>
        </w:rPr>
        <w:t>《和静县社会保险中心</w:t>
      </w:r>
      <w:r>
        <w:rPr>
          <w:rFonts w:hint="eastAsia"/>
          <w:color w:val="auto"/>
          <w:highlight w:val="none"/>
          <w:lang w:val="en-US" w:eastAsia="zh-CN"/>
        </w:rPr>
        <w:t>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385CE1F2">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w:t>
      </w:r>
      <w:r>
        <w:rPr>
          <w:rFonts w:hint="eastAsia"/>
          <w:color w:val="auto"/>
          <w:highlight w:val="none"/>
          <w:lang w:eastAsia="zh-CN"/>
        </w:rPr>
        <w:t>我中心</w:t>
      </w:r>
      <w:r>
        <w:rPr>
          <w:rFonts w:hint="eastAsia"/>
          <w:color w:val="auto"/>
          <w:highlight w:val="none"/>
        </w:rPr>
        <w:t>财务管理制度规定。</w:t>
      </w:r>
    </w:p>
    <w:p w14:paraId="6B388802">
      <w:pPr>
        <w:pStyle w:val="2"/>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2.组织实施情况分析</w:t>
      </w:r>
    </w:p>
    <w:p w14:paraId="086C4DC2">
      <w:pPr>
        <w:keepNext w:val="0"/>
        <w:pageBreakBefore w:val="0"/>
        <w:widowControl w:val="0"/>
        <w:kinsoku/>
        <w:wordWrap/>
        <w:overflowPunct/>
        <w:topLinePunct w:val="0"/>
        <w:autoSpaceDE/>
        <w:autoSpaceDN/>
        <w:bidi w:val="0"/>
        <w:adjustRightInd/>
        <w:ind w:firstLine="562"/>
        <w:textAlignment w:val="auto"/>
        <w:rPr>
          <w:b/>
          <w:bCs/>
          <w:color w:val="auto"/>
          <w:highlight w:val="none"/>
        </w:rPr>
      </w:pPr>
      <w:r>
        <w:rPr>
          <w:rFonts w:hint="eastAsia"/>
          <w:b/>
          <w:bCs/>
          <w:color w:val="auto"/>
          <w:highlight w:val="none"/>
        </w:rPr>
        <w:t>（1）管理制度健全性</w:t>
      </w:r>
    </w:p>
    <w:p w14:paraId="25FA5880">
      <w:pPr>
        <w:keepNext w:val="0"/>
        <w:pageBreakBefore w:val="0"/>
        <w:widowControl w:val="0"/>
        <w:kinsoku/>
        <w:wordWrap/>
        <w:overflowPunct/>
        <w:topLinePunct w:val="0"/>
        <w:autoSpaceDE/>
        <w:autoSpaceDN/>
        <w:bidi w:val="0"/>
        <w:adjustRightInd/>
        <w:ind w:firstLine="560"/>
        <w:textAlignment w:val="auto"/>
        <w:rPr>
          <w:color w:val="auto"/>
          <w:highlight w:val="none"/>
          <w:lang w:eastAsia="zh-Hans"/>
        </w:rPr>
      </w:pPr>
      <w:r>
        <w:rPr>
          <w:rFonts w:hint="eastAsia"/>
          <w:color w:val="auto"/>
          <w:highlight w:val="none"/>
          <w:lang w:eastAsia="zh-CN"/>
        </w:rPr>
        <w:t>我中心</w:t>
      </w:r>
      <w:r>
        <w:rPr>
          <w:rFonts w:hint="eastAsia"/>
          <w:color w:val="auto"/>
          <w:highlight w:val="none"/>
        </w:rPr>
        <w:t>已制定《</w:t>
      </w:r>
      <w:bookmarkStart w:id="16" w:name="OLE_LINK3"/>
      <w:r>
        <w:rPr>
          <w:rFonts w:hint="eastAsia"/>
          <w:color w:val="auto"/>
          <w:highlight w:val="none"/>
          <w:lang w:eastAsia="zh-CN"/>
        </w:rPr>
        <w:t>社保中心</w:t>
      </w:r>
      <w:bookmarkEnd w:id="16"/>
      <w:r>
        <w:rPr>
          <w:rFonts w:hint="eastAsia"/>
          <w:color w:val="auto"/>
          <w:highlight w:val="none"/>
        </w:rPr>
        <w:t>资金管理办法》《</w:t>
      </w:r>
      <w:r>
        <w:rPr>
          <w:rFonts w:hint="eastAsia"/>
          <w:color w:val="auto"/>
          <w:highlight w:val="none"/>
          <w:lang w:eastAsia="zh-CN"/>
        </w:rPr>
        <w:t>社保中心</w:t>
      </w:r>
      <w:r>
        <w:rPr>
          <w:rFonts w:hint="eastAsia"/>
          <w:color w:val="auto"/>
          <w:highlight w:val="none"/>
        </w:rPr>
        <w:t>收支业务管理制度》《</w:t>
      </w:r>
      <w:r>
        <w:rPr>
          <w:rFonts w:hint="eastAsia"/>
          <w:color w:val="auto"/>
          <w:highlight w:val="none"/>
          <w:lang w:eastAsia="zh-CN"/>
        </w:rPr>
        <w:t>社保中心</w:t>
      </w:r>
      <w:r>
        <w:rPr>
          <w:rFonts w:hint="eastAsia"/>
          <w:color w:val="auto"/>
          <w:highlight w:val="none"/>
        </w:rPr>
        <w:t>政府采购业务管理制度》《</w:t>
      </w:r>
      <w:r>
        <w:rPr>
          <w:rFonts w:hint="eastAsia"/>
          <w:color w:val="auto"/>
          <w:highlight w:val="none"/>
          <w:lang w:eastAsia="zh-CN"/>
        </w:rPr>
        <w:t>社保中心</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00F9F298">
      <w:pPr>
        <w:keepNext w:val="0"/>
        <w:pageBreakBefore w:val="0"/>
        <w:widowControl w:val="0"/>
        <w:kinsoku/>
        <w:wordWrap/>
        <w:overflowPunct/>
        <w:topLinePunct w:val="0"/>
        <w:autoSpaceDE/>
        <w:autoSpaceDN/>
        <w:bidi w:val="0"/>
        <w:adjustRightInd/>
        <w:ind w:firstLine="560"/>
        <w:textAlignment w:val="auto"/>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193A9149">
      <w:pPr>
        <w:keepNext w:val="0"/>
        <w:pageBreakBefore w:val="0"/>
        <w:widowControl w:val="0"/>
        <w:kinsoku/>
        <w:wordWrap/>
        <w:overflowPunct/>
        <w:topLinePunct w:val="0"/>
        <w:autoSpaceDE/>
        <w:autoSpaceDN/>
        <w:bidi w:val="0"/>
        <w:adjustRightInd/>
        <w:ind w:firstLine="562"/>
        <w:textAlignment w:val="auto"/>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62B4203D">
      <w:pPr>
        <w:keepNext w:val="0"/>
        <w:pageBreakBefore w:val="0"/>
        <w:widowControl w:val="0"/>
        <w:kinsoku/>
        <w:wordWrap/>
        <w:overflowPunct/>
        <w:topLinePunct w:val="0"/>
        <w:autoSpaceDE/>
        <w:autoSpaceDN/>
        <w:bidi w:val="0"/>
        <w:adjustRightInd/>
        <w:ind w:firstLine="560"/>
        <w:textAlignment w:val="auto"/>
        <w:rPr>
          <w:rFonts w:hint="eastAsia" w:eastAsia="仿宋_GB2312"/>
          <w:color w:val="auto"/>
          <w:highlight w:val="none"/>
          <w:lang w:eastAsia="zh-CN"/>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，项目启动实施后，为了加快本项目的实施，成立了2024年州直关闭破产企业1995年底前退休人员生活补贴资金项目工作领导小组，由</w:t>
      </w:r>
      <w:r>
        <w:rPr>
          <w:rFonts w:hint="eastAsia"/>
          <w:color w:val="auto"/>
          <w:highlight w:val="none"/>
          <w:lang w:eastAsia="zh-CN"/>
        </w:rPr>
        <w:t>中心主任权云峰</w:t>
      </w:r>
      <w:r>
        <w:rPr>
          <w:rFonts w:hint="eastAsia"/>
          <w:color w:val="auto"/>
          <w:highlight w:val="none"/>
        </w:rPr>
        <w:t>任组长，负责项目的组织工作；</w:t>
      </w:r>
      <w:r>
        <w:rPr>
          <w:rFonts w:hint="eastAsia"/>
          <w:color w:val="auto"/>
          <w:highlight w:val="none"/>
          <w:lang w:eastAsia="zh-CN"/>
        </w:rPr>
        <w:t>巴都木其其克</w:t>
      </w:r>
      <w:r>
        <w:rPr>
          <w:rFonts w:hint="eastAsia"/>
          <w:color w:val="auto"/>
          <w:highlight w:val="none"/>
        </w:rPr>
        <w:t>任副组长，负责项目的实施工作；组员包括：</w:t>
      </w:r>
      <w:r>
        <w:rPr>
          <w:rFonts w:hint="eastAsia"/>
          <w:color w:val="auto"/>
          <w:highlight w:val="none"/>
          <w:lang w:eastAsia="zh-CN"/>
        </w:rPr>
        <w:t>孟格焦里</w:t>
      </w:r>
      <w:r>
        <w:rPr>
          <w:rFonts w:hint="eastAsia"/>
          <w:color w:val="auto"/>
          <w:highlight w:val="none"/>
        </w:rPr>
        <w:t>和</w:t>
      </w:r>
      <w:r>
        <w:rPr>
          <w:rFonts w:hint="eastAsia"/>
          <w:color w:val="auto"/>
          <w:highlight w:val="none"/>
          <w:lang w:eastAsia="zh-CN"/>
        </w:rPr>
        <w:t>木克热木</w:t>
      </w:r>
      <w:r>
        <w:rPr>
          <w:rFonts w:hint="eastAsia"/>
          <w:color w:val="auto"/>
          <w:highlight w:val="none"/>
        </w:rPr>
        <w:t>，主要负责项目监督管理、</w:t>
      </w:r>
      <w:r>
        <w:rPr>
          <w:rFonts w:hint="eastAsia"/>
          <w:color w:val="auto"/>
          <w:highlight w:val="none"/>
          <w:lang w:eastAsia="zh-CN"/>
        </w:rPr>
        <w:t>验收以及资金核拨等工作。项目调整及支出调整手续完备；项目合同书、验收报告、技术鉴定等资料齐全并及时归档；项目实施的人员条件、场地设备、信息支撑等落实到位。</w:t>
      </w:r>
    </w:p>
    <w:p w14:paraId="2226DE86">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0A0C222C">
      <w:pPr>
        <w:pStyle w:val="4"/>
        <w:keepNext w:val="0"/>
        <w:pageBreakBefore w:val="0"/>
        <w:widowControl w:val="0"/>
        <w:kinsoku/>
        <w:wordWrap/>
        <w:overflowPunct/>
        <w:topLinePunct w:val="0"/>
        <w:autoSpaceDE/>
        <w:autoSpaceDN/>
        <w:bidi w:val="0"/>
        <w:adjustRightInd/>
        <w:ind w:left="560" w:leftChars="200" w:firstLine="0" w:firstLineChars="0"/>
        <w:textAlignment w:val="auto"/>
        <w:rPr>
          <w:color w:val="auto"/>
          <w:highlight w:val="none"/>
        </w:rPr>
      </w:pPr>
      <w:r>
        <w:rPr>
          <w:rFonts w:hint="eastAsia"/>
          <w:color w:val="auto"/>
          <w:highlight w:val="none"/>
        </w:rPr>
        <w:t>（三）项目产出情况</w:t>
      </w:r>
    </w:p>
    <w:p w14:paraId="093FFF2E">
      <w:pPr>
        <w:keepNext w:val="0"/>
        <w:pageBreakBefore w:val="0"/>
        <w:widowControl w:val="0"/>
        <w:kinsoku/>
        <w:wordWrap/>
        <w:overflowPunct/>
        <w:topLinePunct w:val="0"/>
        <w:autoSpaceDE/>
        <w:autoSpaceDN/>
        <w:bidi w:val="0"/>
        <w:adjustRightInd/>
        <w:ind w:firstLine="560"/>
        <w:textAlignment w:val="auto"/>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425CFF74">
      <w:pPr>
        <w:pStyle w:val="2"/>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1.数量指标完成情况分析</w:t>
      </w:r>
    </w:p>
    <w:p w14:paraId="521278A8">
      <w:pPr>
        <w:pStyle w:val="6"/>
        <w:keepNext w:val="0"/>
        <w:pageBreakBefore w:val="0"/>
        <w:widowControl w:val="0"/>
        <w:kinsoku/>
        <w:wordWrap/>
        <w:overflowPunct/>
        <w:topLinePunct w:val="0"/>
        <w:autoSpaceDE/>
        <w:autoSpaceDN/>
        <w:bidi w:val="0"/>
        <w:adjustRightInd/>
        <w:textAlignment w:val="auto"/>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享受生活补助人员</w:t>
      </w:r>
      <w:r>
        <w:rPr>
          <w:rFonts w:hint="eastAsia"/>
          <w:color w:val="auto"/>
          <w:highlight w:val="none"/>
          <w:lang w:eastAsia="zh-CN"/>
        </w:rPr>
        <w:t>”指标</w:t>
      </w:r>
      <w:r>
        <w:rPr>
          <w:rFonts w:hint="eastAsia"/>
          <w:color w:val="auto"/>
          <w:highlight w:val="none"/>
        </w:rPr>
        <w:t>:预期指标值为≤214人，实际完成值为214人,指标完成率为1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2426955A">
      <w:pPr>
        <w:pStyle w:val="2"/>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2.质量指标完成情况分析</w:t>
      </w:r>
    </w:p>
    <w:p w14:paraId="3974EA5B">
      <w:pPr>
        <w:keepNext w:val="0"/>
        <w:pageBreakBefore w:val="0"/>
        <w:widowControl w:val="0"/>
        <w:kinsoku/>
        <w:wordWrap/>
        <w:overflowPunct/>
        <w:topLinePunct w:val="0"/>
        <w:autoSpaceDE/>
        <w:autoSpaceDN/>
        <w:bidi w:val="0"/>
        <w:adjustRightInd/>
        <w:ind w:firstLine="560"/>
        <w:textAlignment w:val="auto"/>
        <w:rPr>
          <w:rFonts w:hint="eastAsia"/>
          <w:color w:val="auto"/>
          <w:highlight w:val="none"/>
        </w:rPr>
      </w:pPr>
      <w:bookmarkStart w:id="17" w:name="OLE_LINK5"/>
      <w:r>
        <w:rPr>
          <w:rFonts w:hint="eastAsia"/>
          <w:color w:val="auto"/>
          <w:highlight w:val="none"/>
        </w:rPr>
        <w:t>“发放补助准确率”指标：预期指标值为=100%，实际完成指标值为100%，指标完成率为=100%，偏差率</w:t>
      </w:r>
      <w:r>
        <w:rPr>
          <w:rFonts w:hint="eastAsia"/>
          <w:color w:val="auto"/>
          <w:highlight w:val="none"/>
          <w:lang w:val="en-US" w:eastAsia="zh-CN"/>
        </w:rPr>
        <w:t>0</w:t>
      </w:r>
      <w:r>
        <w:rPr>
          <w:rFonts w:hint="eastAsia"/>
          <w:color w:val="auto"/>
          <w:highlight w:val="none"/>
        </w:rPr>
        <w:t>%。</w:t>
      </w:r>
    </w:p>
    <w:bookmarkEnd w:id="17"/>
    <w:p w14:paraId="51E40F34">
      <w:pPr>
        <w:keepNext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“符合补助政策人员享受覆盖率”指标：预期指标值为=100%，实际完成指标值为100%，指标完成率为=100%，偏差率</w:t>
      </w:r>
      <w:r>
        <w:rPr>
          <w:rFonts w:hint="eastAsia"/>
          <w:color w:val="auto"/>
          <w:highlight w:val="none"/>
          <w:lang w:val="en-US" w:eastAsia="zh-CN"/>
        </w:rPr>
        <w:t>0</w:t>
      </w:r>
      <w:r>
        <w:rPr>
          <w:rFonts w:hint="eastAsia"/>
          <w:color w:val="auto"/>
          <w:highlight w:val="none"/>
        </w:rPr>
        <w:t>%。</w:t>
      </w:r>
    </w:p>
    <w:p w14:paraId="3EDC8D4D">
      <w:pPr>
        <w:pStyle w:val="2"/>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3.时效指标完成情况分析</w:t>
      </w:r>
    </w:p>
    <w:p w14:paraId="56AE3E05">
      <w:pPr>
        <w:keepNext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“生活补助发放及时率”指标：预期指标值为</w:t>
      </w:r>
      <w:r>
        <w:rPr>
          <w:rFonts w:hint="eastAsia"/>
          <w:color w:val="auto"/>
          <w:highlight w:val="none"/>
          <w:lang w:val="en-US" w:eastAsia="zh-CN"/>
        </w:rPr>
        <w:t>=100%</w:t>
      </w:r>
      <w:r>
        <w:rPr>
          <w:rFonts w:hint="eastAsia"/>
          <w:color w:val="auto"/>
          <w:highlight w:val="none"/>
        </w:rPr>
        <w:t>，实际完成指标值为</w:t>
      </w:r>
      <w:bookmarkStart w:id="18" w:name="OLE_LINK6"/>
      <w:r>
        <w:rPr>
          <w:rFonts w:hint="eastAsia"/>
          <w:color w:val="auto"/>
          <w:highlight w:val="none"/>
          <w:lang w:val="en-US" w:eastAsia="zh-CN"/>
        </w:rPr>
        <w:t>100</w:t>
      </w:r>
      <w:bookmarkEnd w:id="18"/>
      <w:r>
        <w:rPr>
          <w:rFonts w:hint="eastAsia"/>
          <w:color w:val="auto"/>
          <w:highlight w:val="none"/>
          <w:lang w:val="en-US" w:eastAsia="zh-CN"/>
        </w:rPr>
        <w:t>%</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D8A6A26">
      <w:pPr>
        <w:pStyle w:val="4"/>
        <w:keepNext w:val="0"/>
        <w:pageBreakBefore w:val="0"/>
        <w:widowControl w:val="0"/>
        <w:kinsoku/>
        <w:wordWrap/>
        <w:overflowPunct/>
        <w:topLinePunct w:val="0"/>
        <w:autoSpaceDE/>
        <w:autoSpaceDN/>
        <w:bidi w:val="0"/>
        <w:adjustRightInd/>
        <w:ind w:firstLine="643"/>
        <w:textAlignment w:val="auto"/>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3CD2D9EB">
      <w:pPr>
        <w:keepNext w:val="0"/>
        <w:pageBreakBefore w:val="0"/>
        <w:widowControl w:val="0"/>
        <w:kinsoku/>
        <w:wordWrap/>
        <w:overflowPunct/>
        <w:topLinePunct w:val="0"/>
        <w:autoSpaceDE/>
        <w:autoSpaceDN/>
        <w:bidi w:val="0"/>
        <w:adjustRightInd/>
        <w:textAlignment w:val="auto"/>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728CD695">
      <w:pPr>
        <w:pStyle w:val="2"/>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4AA6B565">
      <w:pPr>
        <w:keepNext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“补助发放标准”指标：预期指标值为&lt;=120元/月/人，实际完成指标值为120元/月/人，指标完成率为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56E3D05">
      <w:pPr>
        <w:pStyle w:val="4"/>
        <w:keepNext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0A263198">
      <w:pPr>
        <w:keepNext w:val="0"/>
        <w:pageBreakBefore w:val="0"/>
        <w:widowControl w:val="0"/>
        <w:kinsoku/>
        <w:wordWrap/>
        <w:overflowPunct/>
        <w:topLinePunct w:val="0"/>
        <w:autoSpaceDE/>
        <w:autoSpaceDN/>
        <w:bidi w:val="0"/>
        <w:adjustRightInd/>
        <w:ind w:firstLine="560"/>
        <w:textAlignment w:val="auto"/>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75130AA2">
      <w:pPr>
        <w:pStyle w:val="2"/>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1.社会效益完成情况分析</w:t>
      </w:r>
    </w:p>
    <w:p w14:paraId="661B7DA2">
      <w:pPr>
        <w:keepNext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“提高享政策受人员生活水平”指标：预期指标值为有效提高，实际完成指标值为=100%，指标完成率为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DB914C5">
      <w:pPr>
        <w:keepNext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“政策知晓率”指标：预期指标值为&gt;=95%，实际完成指标值为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873048B">
      <w:pPr>
        <w:pStyle w:val="2"/>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62A9491E">
      <w:pPr>
        <w:pStyle w:val="6"/>
        <w:keepNext w:val="0"/>
        <w:pageBreakBefore w:val="0"/>
        <w:widowControl w:val="0"/>
        <w:kinsoku/>
        <w:wordWrap/>
        <w:overflowPunct/>
        <w:topLinePunct w:val="0"/>
        <w:autoSpaceDE/>
        <w:autoSpaceDN/>
        <w:bidi w:val="0"/>
        <w:adjustRightInd/>
        <w:textAlignment w:val="auto"/>
        <w:rPr>
          <w:rFonts w:hint="eastAsia" w:eastAsia="仿宋_GB2312"/>
          <w:color w:val="auto"/>
          <w:highlight w:val="none"/>
          <w:lang w:eastAsia="zh-CN"/>
        </w:rPr>
      </w:pPr>
      <w:r>
        <w:rPr>
          <w:rFonts w:hint="eastAsia"/>
          <w:color w:val="auto"/>
          <w:highlight w:val="none"/>
        </w:rPr>
        <w:t>“享受群众满意度”指标：预期指标值为=100%，实际完成指标值为=100%，指标完成率为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3A0ABB3B">
      <w:pPr>
        <w:pStyle w:val="3"/>
        <w:keepNext w:val="0"/>
        <w:pageBreakBefore w:val="0"/>
        <w:widowControl w:val="0"/>
        <w:kinsoku/>
        <w:wordWrap/>
        <w:overflowPunct/>
        <w:topLinePunct w:val="0"/>
        <w:autoSpaceDE/>
        <w:autoSpaceDN/>
        <w:bidi w:val="0"/>
        <w:adjustRightInd/>
        <w:ind w:firstLine="643"/>
        <w:textAlignment w:val="auto"/>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06FEA0B5">
      <w:pPr>
        <w:keepNext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30.89万元，全年预算数为30.89万元，全年执行数为30.89万元，预算执行率为100%。</w:t>
      </w:r>
    </w:p>
    <w:p w14:paraId="452CE908">
      <w:pPr>
        <w:pStyle w:val="6"/>
        <w:keepNext w:val="0"/>
        <w:pageBreakBefore w:val="0"/>
        <w:widowControl w:val="0"/>
        <w:kinsoku/>
        <w:wordWrap/>
        <w:overflowPunct/>
        <w:topLinePunct w:val="0"/>
        <w:autoSpaceDE/>
        <w:autoSpaceDN/>
        <w:bidi w:val="0"/>
        <w:adjustRightInd/>
        <w:textAlignment w:val="auto"/>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19个，扣分指标数量0个，经分析计算所有三级指标完成率得出，本项目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14:paraId="0E951D2F">
      <w:pPr>
        <w:pStyle w:val="6"/>
        <w:keepNext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综上所述本项目预算执行率与总体完成率之间的偏差为0%。</w:t>
      </w:r>
    </w:p>
    <w:p w14:paraId="4A4004E1">
      <w:pPr>
        <w:keepNext w:val="0"/>
        <w:pageBreakBefore w:val="0"/>
        <w:widowControl w:val="0"/>
        <w:kinsoku/>
        <w:wordWrap/>
        <w:overflowPunct/>
        <w:topLinePunct w:val="0"/>
        <w:autoSpaceDE/>
        <w:autoSpaceDN/>
        <w:bidi w:val="0"/>
        <w:adjustRightInd/>
        <w:ind w:firstLine="560"/>
        <w:textAlignment w:val="auto"/>
        <w:rPr>
          <w:rFonts w:hint="default"/>
          <w:color w:val="auto"/>
          <w:highlight w:val="none"/>
          <w:lang w:val="zh-TW" w:eastAsia="zh-CN"/>
        </w:rPr>
      </w:pPr>
      <w:r>
        <w:rPr>
          <w:rFonts w:hint="eastAsia" w:ascii="Times New Roman" w:hAnsi="Times New Roman" w:cs="Times New Roman"/>
          <w:color w:val="auto"/>
          <w:highlight w:val="none"/>
          <w:u w:color="000000"/>
          <w:lang w:val="zh-TW" w:eastAsia="zh-CN"/>
        </w:rPr>
        <w:t>我中心</w:t>
      </w:r>
      <w:r>
        <w:rPr>
          <w:rFonts w:hint="default" w:ascii="Times New Roman" w:hAnsi="Times New Roman" w:cs="Times New Roman"/>
          <w:color w:val="auto"/>
          <w:highlight w:val="none"/>
          <w:u w:color="000000"/>
          <w:lang w:val="zh-TW" w:eastAsia="zh-TW"/>
        </w:rPr>
        <w:t>根据绩效管理的相关要求，按照年度实施计划和目标，对本单位</w:t>
      </w:r>
      <w:r>
        <w:rPr>
          <w:rFonts w:hint="eastAsia" w:ascii="Times New Roman" w:hAnsi="Times New Roman" w:cs="Times New Roman"/>
          <w:color w:val="auto"/>
          <w:highlight w:val="none"/>
          <w:u w:color="000000"/>
          <w:lang w:val="en-US" w:eastAsia="zh-CN"/>
        </w:rPr>
        <w:t>2024年州直关闭破产企业1995年底前退休人员生活补贴资金项目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067F4A85">
      <w:pPr>
        <w:pStyle w:val="3"/>
        <w:keepNext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2E6B09C4">
      <w:pPr>
        <w:pStyle w:val="4"/>
        <w:keepNext w:val="0"/>
        <w:pageBreakBefore w:val="0"/>
        <w:widowControl w:val="0"/>
        <w:numPr>
          <w:ilvl w:val="0"/>
          <w:numId w:val="4"/>
        </w:numPr>
        <w:kinsoku/>
        <w:wordWrap/>
        <w:overflowPunct/>
        <w:topLinePunct w:val="0"/>
        <w:autoSpaceDE/>
        <w:autoSpaceDN/>
        <w:bidi w:val="0"/>
        <w:adjustRightInd/>
        <w:ind w:firstLine="643"/>
        <w:textAlignment w:val="auto"/>
        <w:rPr>
          <w:color w:val="auto"/>
          <w:highlight w:val="none"/>
        </w:rPr>
      </w:pPr>
      <w:bookmarkStart w:id="19" w:name="_Toc28290"/>
      <w:bookmarkStart w:id="20" w:name="_Toc1921"/>
      <w:r>
        <w:rPr>
          <w:rFonts w:hint="eastAsia"/>
          <w:color w:val="auto"/>
          <w:highlight w:val="none"/>
        </w:rPr>
        <w:t>主要经验及做法</w:t>
      </w:r>
    </w:p>
    <w:bookmarkEnd w:id="19"/>
    <w:bookmarkEnd w:id="20"/>
    <w:p w14:paraId="6929310A">
      <w:pPr>
        <w:keepNext w:val="0"/>
        <w:pageBreakBefore w:val="0"/>
        <w:widowControl w:val="0"/>
        <w:kinsoku/>
        <w:wordWrap/>
        <w:overflowPunct/>
        <w:topLinePunct w:val="0"/>
        <w:autoSpaceDE/>
        <w:autoSpaceDN/>
        <w:bidi w:val="0"/>
        <w:adjustRightInd/>
        <w:ind w:firstLine="560"/>
        <w:textAlignment w:val="auto"/>
        <w:rPr>
          <w:rFonts w:hint="eastAsia" w:ascii="Times New Roman" w:hAnsi="Times New Roman" w:cs="Times New Roman"/>
          <w:color w:val="auto"/>
          <w:highlight w:val="none"/>
          <w:u w:color="000000"/>
          <w:lang w:val="en-US" w:eastAsia="zh-CN"/>
        </w:rPr>
      </w:pPr>
      <w:r>
        <w:rPr>
          <w:rFonts w:hint="eastAsia" w:ascii="Times New Roman" w:hAnsi="Times New Roman" w:cs="Times New Roman"/>
          <w:color w:val="auto"/>
          <w:highlight w:val="none"/>
          <w:u w:color="000000"/>
          <w:lang w:val="en-US" w:eastAsia="zh-CN"/>
        </w:rPr>
        <w:t>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p>
    <w:p w14:paraId="5C17507A">
      <w:pPr>
        <w:pStyle w:val="4"/>
        <w:keepNext w:val="0"/>
        <w:keepLines/>
        <w:pageBreakBefore w:val="0"/>
        <w:widowControl w:val="0"/>
        <w:numPr>
          <w:ilvl w:val="0"/>
          <w:numId w:val="4"/>
        </w:numPr>
        <w:kinsoku/>
        <w:wordWrap/>
        <w:overflowPunct/>
        <w:topLinePunct w:val="0"/>
        <w:autoSpaceDE/>
        <w:autoSpaceDN/>
        <w:bidi w:val="0"/>
        <w:adjustRightInd/>
        <w:snapToGrid/>
        <w:ind w:firstLine="643"/>
        <w:textAlignment w:val="auto"/>
        <w:rPr>
          <w:color w:val="auto"/>
          <w:highlight w:val="none"/>
        </w:rPr>
      </w:pPr>
      <w:r>
        <w:rPr>
          <w:rFonts w:hint="eastAsia"/>
          <w:color w:val="auto"/>
          <w:highlight w:val="none"/>
        </w:rPr>
        <w:t>存在的问题及原因分析</w:t>
      </w:r>
    </w:p>
    <w:p w14:paraId="3E3BD287">
      <w:pPr>
        <w:pStyle w:val="3"/>
        <w:keepNext w:val="0"/>
        <w:keepLines/>
        <w:pageBreakBefore w:val="0"/>
        <w:widowControl w:val="0"/>
        <w:kinsoku/>
        <w:wordWrap/>
        <w:overflowPunct/>
        <w:topLinePunct w:val="0"/>
        <w:autoSpaceDE/>
        <w:autoSpaceDN/>
        <w:bidi w:val="0"/>
        <w:adjustRightInd/>
        <w:snapToGrid/>
        <w:ind w:firstLine="643"/>
        <w:textAlignment w:val="auto"/>
        <w:rPr>
          <w:rFonts w:hint="eastAsia" w:ascii="仿宋_GB2312" w:hAnsi="仿宋_GB2312" w:eastAsia="仿宋_GB2312" w:cs="仿宋_GB2312"/>
          <w:b w:val="0"/>
          <w:color w:val="auto"/>
          <w:kern w:val="2"/>
          <w:sz w:val="28"/>
          <w:szCs w:val="28"/>
          <w:highlight w:val="none"/>
          <w:shd w:val="clear" w:fill="FFFFFF"/>
          <w:lang w:val="en-US" w:eastAsia="zh-CN" w:bidi="ar-SA"/>
        </w:rPr>
      </w:pPr>
      <w:r>
        <w:rPr>
          <w:rFonts w:hint="eastAsia" w:ascii="仿宋_GB2312" w:hAnsi="仿宋_GB2312" w:eastAsia="仿宋_GB2312" w:cs="仿宋_GB2312"/>
          <w:b w:val="0"/>
          <w:color w:val="auto"/>
          <w:kern w:val="2"/>
          <w:sz w:val="28"/>
          <w:szCs w:val="28"/>
          <w:highlight w:val="none"/>
          <w:shd w:val="clear" w:fill="FFFFFF"/>
          <w:lang w:val="en-US" w:eastAsia="zh-CN" w:bidi="ar-SA"/>
        </w:rPr>
        <w:t>1.绩效管理缺乏队伍建设，目标存在设置过高现象。</w:t>
      </w:r>
    </w:p>
    <w:p w14:paraId="72FFCDEF">
      <w:pPr>
        <w:pStyle w:val="3"/>
        <w:keepNext w:val="0"/>
        <w:keepLines/>
        <w:pageBreakBefore w:val="0"/>
        <w:widowControl w:val="0"/>
        <w:kinsoku/>
        <w:wordWrap/>
        <w:overflowPunct/>
        <w:topLinePunct w:val="0"/>
        <w:autoSpaceDE/>
        <w:autoSpaceDN/>
        <w:bidi w:val="0"/>
        <w:adjustRightInd/>
        <w:snapToGrid/>
        <w:ind w:firstLine="643"/>
        <w:textAlignment w:val="auto"/>
        <w:rPr>
          <w:rFonts w:hint="eastAsia" w:ascii="仿宋_GB2312" w:hAnsi="仿宋_GB2312" w:eastAsia="仿宋_GB2312" w:cs="仿宋_GB2312"/>
          <w:b w:val="0"/>
          <w:color w:val="auto"/>
          <w:kern w:val="2"/>
          <w:sz w:val="28"/>
          <w:szCs w:val="28"/>
          <w:highlight w:val="none"/>
          <w:shd w:val="clear" w:fill="FFFFFF"/>
          <w:lang w:val="en-US" w:eastAsia="zh-CN" w:bidi="ar-SA"/>
        </w:rPr>
      </w:pPr>
      <w:r>
        <w:rPr>
          <w:rFonts w:hint="eastAsia" w:ascii="仿宋_GB2312" w:hAnsi="仿宋_GB2312" w:eastAsia="仿宋_GB2312" w:cs="仿宋_GB2312"/>
          <w:b w:val="0"/>
          <w:color w:val="auto"/>
          <w:kern w:val="2"/>
          <w:sz w:val="28"/>
          <w:szCs w:val="28"/>
          <w:highlight w:val="none"/>
          <w:shd w:val="clear" w:fill="FFFFFF"/>
          <w:lang w:val="en-US" w:eastAsia="zh-CN" w:bidi="ar-SA"/>
        </w:rPr>
        <w:t>2.预算执行分析理解不够透彻。一是制定和完善基本支出、项目支出等各项支出标准，严格按项目和进度执行预算，增强预算的约束力和严肃性。</w:t>
      </w:r>
    </w:p>
    <w:p w14:paraId="142EDBCB">
      <w:pPr>
        <w:pStyle w:val="3"/>
        <w:keepNext w:val="0"/>
        <w:pageBreakBefore w:val="0"/>
        <w:widowControl w:val="0"/>
        <w:kinsoku/>
        <w:wordWrap/>
        <w:overflowPunct/>
        <w:topLinePunct w:val="0"/>
        <w:autoSpaceDE/>
        <w:autoSpaceDN/>
        <w:bidi w:val="0"/>
        <w:adjustRightInd/>
        <w:snapToGrid/>
        <w:ind w:firstLine="643"/>
        <w:textAlignment w:val="auto"/>
        <w:rPr>
          <w:color w:val="auto"/>
          <w:highlight w:val="none"/>
        </w:rPr>
      </w:pPr>
      <w:r>
        <w:rPr>
          <w:rFonts w:hint="eastAsia"/>
          <w:color w:val="auto"/>
          <w:highlight w:val="none"/>
          <w:lang w:eastAsia="zh-CN"/>
        </w:rPr>
        <w:t>七</w:t>
      </w:r>
      <w:r>
        <w:rPr>
          <w:rFonts w:hint="eastAsia"/>
          <w:color w:val="auto"/>
          <w:highlight w:val="none"/>
        </w:rPr>
        <w:t>、有关建议</w:t>
      </w:r>
    </w:p>
    <w:p w14:paraId="6243E374">
      <w:pPr>
        <w:pStyle w:val="3"/>
        <w:keepNext w:val="0"/>
        <w:pageBreakBefore w:val="0"/>
        <w:widowControl w:val="0"/>
        <w:kinsoku/>
        <w:wordWrap/>
        <w:overflowPunct/>
        <w:topLinePunct w:val="0"/>
        <w:autoSpaceDE/>
        <w:autoSpaceDN/>
        <w:bidi w:val="0"/>
        <w:adjustRightInd/>
        <w:snapToGrid/>
        <w:ind w:firstLine="643"/>
        <w:textAlignment w:val="auto"/>
        <w:rPr>
          <w:rFonts w:hint="eastAsia" w:ascii="仿宋_GB2312" w:hAnsi="仿宋_GB2312" w:eastAsia="仿宋_GB2312" w:cs="仿宋_GB2312"/>
          <w:b w:val="0"/>
          <w:color w:val="auto"/>
          <w:kern w:val="2"/>
          <w:sz w:val="28"/>
          <w:szCs w:val="28"/>
          <w:highlight w:val="none"/>
          <w:shd w:val="clear" w:fill="FFFFFF"/>
          <w:lang w:val="en-US" w:eastAsia="zh-CN" w:bidi="ar-SA"/>
        </w:rPr>
      </w:pPr>
      <w:r>
        <w:rPr>
          <w:rFonts w:hint="eastAsia" w:ascii="仿宋_GB2312" w:hAnsi="仿宋_GB2312" w:eastAsia="仿宋_GB2312" w:cs="仿宋_GB2312"/>
          <w:b w:val="0"/>
          <w:color w:val="auto"/>
          <w:kern w:val="2"/>
          <w:sz w:val="28"/>
          <w:szCs w:val="28"/>
          <w:highlight w:val="none"/>
          <w:shd w:val="clear" w:fill="FFFFFF"/>
          <w:lang w:val="en-US" w:eastAsia="zh-CN" w:bidi="ar-SA"/>
        </w:rPr>
        <w:t>1.建议财政部门加强对各单位财务人员队伍建设的重视，加强对财务人员做好各项财务工作的指导和培训，尤其是加强新《预算法》、《行政单位会计制度》等学习培训，规范部门预算收支核算。</w:t>
      </w:r>
    </w:p>
    <w:p w14:paraId="461DCB90">
      <w:pPr>
        <w:keepNext w:val="0"/>
        <w:pageBreakBefore w:val="0"/>
        <w:widowControl w:val="0"/>
        <w:kinsoku/>
        <w:wordWrap/>
        <w:overflowPunct/>
        <w:topLinePunct w:val="0"/>
        <w:autoSpaceDE/>
        <w:autoSpaceDN/>
        <w:bidi w:val="0"/>
        <w:adjustRightInd/>
        <w:snapToGrid/>
        <w:textAlignment w:val="auto"/>
        <w:rPr>
          <w:rFonts w:hint="default"/>
          <w:color w:val="auto"/>
          <w:highlight w:val="none"/>
          <w:lang w:val="en-US" w:eastAsia="zh-CN"/>
        </w:rPr>
      </w:pPr>
      <w:r>
        <w:rPr>
          <w:rFonts w:hint="eastAsia" w:cs="仿宋_GB2312"/>
          <w:color w:val="auto"/>
          <w:sz w:val="28"/>
          <w:szCs w:val="28"/>
          <w:highlight w:val="none"/>
          <w:shd w:val="clear" w:fill="FFFFFF"/>
          <w:lang w:val="en-US" w:eastAsia="zh-CN"/>
        </w:rPr>
        <w:t>2.</w:t>
      </w:r>
      <w:r>
        <w:rPr>
          <w:rFonts w:hint="eastAsia" w:ascii="仿宋_GB2312" w:hAnsi="仿宋_GB2312" w:eastAsia="仿宋_GB2312" w:cs="仿宋_GB2312"/>
          <w:color w:val="auto"/>
          <w:sz w:val="28"/>
          <w:szCs w:val="28"/>
          <w:highlight w:val="none"/>
          <w:shd w:val="clear" w:fill="FFFFFF"/>
          <w:lang w:val="en-US" w:eastAsia="zh-CN"/>
        </w:rPr>
        <w:t>落实预算执行分析，及时了解预算执行差异，合理调整、纠正预算执行偏差，切实提高部门预算收支管理水平。</w:t>
      </w:r>
    </w:p>
    <w:p w14:paraId="7A2836EE">
      <w:pPr>
        <w:pStyle w:val="3"/>
        <w:keepNext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lang w:eastAsia="zh-CN"/>
        </w:rPr>
        <w:t>八</w:t>
      </w:r>
      <w:r>
        <w:rPr>
          <w:rFonts w:hint="eastAsia"/>
          <w:color w:val="auto"/>
          <w:highlight w:val="none"/>
        </w:rPr>
        <w:t>、其他需要说明的问题</w:t>
      </w:r>
    </w:p>
    <w:p w14:paraId="5A07BB5C">
      <w:pPr>
        <w:keepNext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lang w:eastAsia="zh-CN"/>
        </w:rPr>
        <w:t>我中心</w:t>
      </w:r>
      <w:r>
        <w:rPr>
          <w:rFonts w:hint="eastAsia"/>
          <w:color w:val="auto"/>
          <w:highlight w:val="none"/>
        </w:rPr>
        <w:t>对上述项目支出绩效评价报告内反映内容的真实性、完整性负责，接受上级部门及社会公众监督。</w:t>
      </w:r>
    </w:p>
    <w:p w14:paraId="22C40D4B">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7526027E">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26524C24">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（三）评价结果分别编入政府决算和部门预算，报送本级人民代表大会常务委员会，并依法予以公开。</w:t>
      </w:r>
    </w:p>
    <w:p w14:paraId="1832B4BE">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7F928191">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5FB4622C">
      <w:pPr>
        <w:pStyle w:val="3"/>
        <w:keepNext w:val="0"/>
        <w:pageBreakBefore w:val="0"/>
        <w:widowControl w:val="0"/>
        <w:kinsoku/>
        <w:wordWrap/>
        <w:overflowPunct/>
        <w:topLinePunct w:val="0"/>
        <w:autoSpaceDE/>
        <w:autoSpaceDN/>
        <w:bidi w:val="0"/>
        <w:adjustRightInd/>
        <w:ind w:firstLine="640"/>
        <w:textAlignment w:val="auto"/>
        <w:rPr>
          <w:color w:val="auto"/>
          <w:highlight w:val="none"/>
        </w:rPr>
      </w:pPr>
      <w:r>
        <w:rPr>
          <w:rFonts w:hint="eastAsia"/>
          <w:color w:val="auto"/>
          <w:highlight w:val="none"/>
          <w:lang w:eastAsia="zh-CN"/>
        </w:rPr>
        <w:t>九、</w:t>
      </w:r>
      <w:r>
        <w:rPr>
          <w:rFonts w:hint="eastAsia"/>
          <w:color w:val="auto"/>
          <w:highlight w:val="none"/>
        </w:rPr>
        <w:t>附表</w:t>
      </w:r>
    </w:p>
    <w:p w14:paraId="30115F31">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val="en-US" w:eastAsia="zh-CN"/>
        </w:rPr>
        <w:t>附件1：项目支出绩效评价绩效评价体系</w:t>
      </w:r>
    </w:p>
    <w:p w14:paraId="773CB786">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ascii="Times New Roman" w:hAnsi="Times New Roman" w:cs="Times New Roman"/>
          <w:color w:val="auto"/>
          <w:highlight w:val="none"/>
          <w:lang w:val="en-US" w:eastAsia="zh-CN"/>
        </w:rPr>
        <w:t>附件2：项目综合得分表</w:t>
      </w:r>
    </w:p>
    <w:bookmarkEnd w:id="21"/>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215CB5">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D0439D">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48B7ED">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B2EA0C">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F36AA5B">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F36AA5B">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4F4632">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A8E0DB">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884353">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iMTViNGQ5Mjk4OTIzN2IzZTNiN2RiMGU4OTg5MDEifQ=="/>
  </w:docVars>
  <w:rsids>
    <w:rsidRoot w:val="68291A1A"/>
    <w:rsid w:val="001C088B"/>
    <w:rsid w:val="00272D23"/>
    <w:rsid w:val="006B60D2"/>
    <w:rsid w:val="0071063C"/>
    <w:rsid w:val="00885A15"/>
    <w:rsid w:val="00A43D0F"/>
    <w:rsid w:val="00A83364"/>
    <w:rsid w:val="00DA0BA5"/>
    <w:rsid w:val="00E01AC9"/>
    <w:rsid w:val="00EC4605"/>
    <w:rsid w:val="00F77FAE"/>
    <w:rsid w:val="00FB5B81"/>
    <w:rsid w:val="00FE2E85"/>
    <w:rsid w:val="01210E75"/>
    <w:rsid w:val="01E925F2"/>
    <w:rsid w:val="03BB00BF"/>
    <w:rsid w:val="04FF572D"/>
    <w:rsid w:val="066F70AA"/>
    <w:rsid w:val="0708351A"/>
    <w:rsid w:val="09944CF1"/>
    <w:rsid w:val="099D6902"/>
    <w:rsid w:val="0A401CF1"/>
    <w:rsid w:val="0A83765F"/>
    <w:rsid w:val="0AD64679"/>
    <w:rsid w:val="0AFF1EF0"/>
    <w:rsid w:val="0CB12375"/>
    <w:rsid w:val="0D537DC9"/>
    <w:rsid w:val="0D885E3E"/>
    <w:rsid w:val="0DAE2941"/>
    <w:rsid w:val="0DB13246"/>
    <w:rsid w:val="0E5451B9"/>
    <w:rsid w:val="0E760F4E"/>
    <w:rsid w:val="0E9C2A3E"/>
    <w:rsid w:val="0F9F0794"/>
    <w:rsid w:val="0FAB2E23"/>
    <w:rsid w:val="0FD82DB5"/>
    <w:rsid w:val="1103023A"/>
    <w:rsid w:val="118C0775"/>
    <w:rsid w:val="128D0D77"/>
    <w:rsid w:val="12F1313F"/>
    <w:rsid w:val="147473DF"/>
    <w:rsid w:val="1609105D"/>
    <w:rsid w:val="17AF7810"/>
    <w:rsid w:val="18355148"/>
    <w:rsid w:val="1A002E18"/>
    <w:rsid w:val="1A041D47"/>
    <w:rsid w:val="1A376385"/>
    <w:rsid w:val="1A9F1BE2"/>
    <w:rsid w:val="1B4C40A0"/>
    <w:rsid w:val="1BEA0FE8"/>
    <w:rsid w:val="1C4A596B"/>
    <w:rsid w:val="1FDC50EC"/>
    <w:rsid w:val="20A2086D"/>
    <w:rsid w:val="20A32962"/>
    <w:rsid w:val="20AD61B6"/>
    <w:rsid w:val="20B21A37"/>
    <w:rsid w:val="21817779"/>
    <w:rsid w:val="21A41209"/>
    <w:rsid w:val="23C93BD9"/>
    <w:rsid w:val="245E1E24"/>
    <w:rsid w:val="256845EA"/>
    <w:rsid w:val="25A91CF5"/>
    <w:rsid w:val="26C93D5C"/>
    <w:rsid w:val="26EF3957"/>
    <w:rsid w:val="289879A1"/>
    <w:rsid w:val="28A61969"/>
    <w:rsid w:val="28E60D8A"/>
    <w:rsid w:val="290A1A28"/>
    <w:rsid w:val="29C05630"/>
    <w:rsid w:val="2A053F0F"/>
    <w:rsid w:val="2A0C569A"/>
    <w:rsid w:val="2A5C3075"/>
    <w:rsid w:val="2B1F5779"/>
    <w:rsid w:val="2C103347"/>
    <w:rsid w:val="2C436E9B"/>
    <w:rsid w:val="2D2E3032"/>
    <w:rsid w:val="2DC37189"/>
    <w:rsid w:val="2DFA2E97"/>
    <w:rsid w:val="2E483E7E"/>
    <w:rsid w:val="2FBA5D68"/>
    <w:rsid w:val="2FCE2953"/>
    <w:rsid w:val="2FDE37A9"/>
    <w:rsid w:val="30F71923"/>
    <w:rsid w:val="315B7BD0"/>
    <w:rsid w:val="316E3B59"/>
    <w:rsid w:val="332F7DDD"/>
    <w:rsid w:val="33944516"/>
    <w:rsid w:val="33FE342B"/>
    <w:rsid w:val="3522787D"/>
    <w:rsid w:val="36172D90"/>
    <w:rsid w:val="36185B49"/>
    <w:rsid w:val="379F4CA9"/>
    <w:rsid w:val="37B3604A"/>
    <w:rsid w:val="386532D8"/>
    <w:rsid w:val="38CC7587"/>
    <w:rsid w:val="39314DB2"/>
    <w:rsid w:val="3A8B235A"/>
    <w:rsid w:val="3BB84807"/>
    <w:rsid w:val="3C494A2A"/>
    <w:rsid w:val="3C9E1AD1"/>
    <w:rsid w:val="3E04329F"/>
    <w:rsid w:val="3E707214"/>
    <w:rsid w:val="3ED454B4"/>
    <w:rsid w:val="402112BD"/>
    <w:rsid w:val="413E2617"/>
    <w:rsid w:val="42252B42"/>
    <w:rsid w:val="426D5922"/>
    <w:rsid w:val="43F02242"/>
    <w:rsid w:val="446A2417"/>
    <w:rsid w:val="453453BA"/>
    <w:rsid w:val="46DE683B"/>
    <w:rsid w:val="49DF11B1"/>
    <w:rsid w:val="4A0C0F6C"/>
    <w:rsid w:val="4A623539"/>
    <w:rsid w:val="4A94466D"/>
    <w:rsid w:val="4A996944"/>
    <w:rsid w:val="4B545786"/>
    <w:rsid w:val="4C272F70"/>
    <w:rsid w:val="4C3216AC"/>
    <w:rsid w:val="4D600BD3"/>
    <w:rsid w:val="4E4A6D47"/>
    <w:rsid w:val="4EC15329"/>
    <w:rsid w:val="4F733A2D"/>
    <w:rsid w:val="4FB67747"/>
    <w:rsid w:val="4FD56C07"/>
    <w:rsid w:val="500656EA"/>
    <w:rsid w:val="511FF2A1"/>
    <w:rsid w:val="51C44696"/>
    <w:rsid w:val="533C5A04"/>
    <w:rsid w:val="535C0B9A"/>
    <w:rsid w:val="55A5494A"/>
    <w:rsid w:val="56803BC3"/>
    <w:rsid w:val="56FD7960"/>
    <w:rsid w:val="59C02DAD"/>
    <w:rsid w:val="5A287F99"/>
    <w:rsid w:val="5B1433B1"/>
    <w:rsid w:val="5C0731FC"/>
    <w:rsid w:val="5E0A0A9B"/>
    <w:rsid w:val="5EC161DB"/>
    <w:rsid w:val="5F9C5101"/>
    <w:rsid w:val="5FAD3ACF"/>
    <w:rsid w:val="5FEF6D0F"/>
    <w:rsid w:val="618129F7"/>
    <w:rsid w:val="61E13DF5"/>
    <w:rsid w:val="626F3307"/>
    <w:rsid w:val="62EE2619"/>
    <w:rsid w:val="653A5570"/>
    <w:rsid w:val="66F91E37"/>
    <w:rsid w:val="68291A1A"/>
    <w:rsid w:val="68A5547C"/>
    <w:rsid w:val="68DD0045"/>
    <w:rsid w:val="691B1594"/>
    <w:rsid w:val="69A50B98"/>
    <w:rsid w:val="69BD5A21"/>
    <w:rsid w:val="6ACE22AC"/>
    <w:rsid w:val="6B53300B"/>
    <w:rsid w:val="6CBF6EF4"/>
    <w:rsid w:val="6F0D6C22"/>
    <w:rsid w:val="6FD57E76"/>
    <w:rsid w:val="6FF06988"/>
    <w:rsid w:val="705D0229"/>
    <w:rsid w:val="71801FA8"/>
    <w:rsid w:val="72081928"/>
    <w:rsid w:val="721E32A8"/>
    <w:rsid w:val="72B05F6E"/>
    <w:rsid w:val="733B13D1"/>
    <w:rsid w:val="73F727AA"/>
    <w:rsid w:val="742C20FA"/>
    <w:rsid w:val="74370315"/>
    <w:rsid w:val="745F5557"/>
    <w:rsid w:val="74B60DFD"/>
    <w:rsid w:val="75D15A4D"/>
    <w:rsid w:val="76C21ABB"/>
    <w:rsid w:val="76D2301A"/>
    <w:rsid w:val="774329A8"/>
    <w:rsid w:val="7782439D"/>
    <w:rsid w:val="77861774"/>
    <w:rsid w:val="77C253BD"/>
    <w:rsid w:val="79300B45"/>
    <w:rsid w:val="79A17504"/>
    <w:rsid w:val="79FF3433"/>
    <w:rsid w:val="7AB73395"/>
    <w:rsid w:val="7B686778"/>
    <w:rsid w:val="7BCE4A5E"/>
    <w:rsid w:val="7E617414"/>
    <w:rsid w:val="7EC130CB"/>
    <w:rsid w:val="7F5F76E1"/>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22</Pages>
  <Words>10466</Words>
  <Characters>11064</Characters>
  <Lines>71</Lines>
  <Paragraphs>20</Paragraphs>
  <TotalTime>0</TotalTime>
  <ScaleCrop>false</ScaleCrop>
  <LinksUpToDate>false</LinksUpToDate>
  <CharactersWithSpaces>11068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屈小雯</cp:lastModifiedBy>
  <dcterms:modified xsi:type="dcterms:W3CDTF">2025-05-21T02:37:47Z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5CB7E29FE1494D09A8E0FFC455C3C1B9_13</vt:lpwstr>
  </property>
  <property fmtid="{D5CDD505-2E9C-101B-9397-08002B2CF9AE}" pid="4" name="KSOTemplateDocerSaveRecord">
    <vt:lpwstr>eyJoZGlkIjoiMWRjZmY1OTU4ZWQ4NjUxZDE3ZDUyMjZmNjlmMjkzYmEiLCJ1c2VySWQiOiI0MDgzNTQxMjQifQ==</vt:lpwstr>
  </property>
</Properties>
</file>